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FB9" w:rsidRDefault="00513FB9"/>
    <w:tbl>
      <w:tblPr>
        <w:tblW w:w="8964" w:type="dxa"/>
        <w:tblLook w:val="0000" w:firstRow="0" w:lastRow="0" w:firstColumn="0" w:lastColumn="0" w:noHBand="0" w:noVBand="0"/>
      </w:tblPr>
      <w:tblGrid>
        <w:gridCol w:w="3456"/>
        <w:gridCol w:w="5441"/>
        <w:gridCol w:w="31"/>
        <w:gridCol w:w="36"/>
      </w:tblGrid>
      <w:tr w:rsidR="00513FB9" w:rsidRPr="007D7E0B" w:rsidTr="00BD5A55">
        <w:trPr>
          <w:gridAfter w:val="1"/>
          <w:wAfter w:w="36" w:type="dxa"/>
        </w:trPr>
        <w:tc>
          <w:tcPr>
            <w:tcW w:w="8928" w:type="dxa"/>
            <w:gridSpan w:val="3"/>
            <w:tcBorders>
              <w:bottom w:val="single" w:sz="18" w:space="0" w:color="auto"/>
            </w:tcBorders>
          </w:tcPr>
          <w:p w:rsidR="00513FB9" w:rsidRDefault="00513FB9" w:rsidP="006D2C51">
            <w:pPr>
              <w:pStyle w:val="Infotext"/>
              <w:rPr>
                <w:rFonts w:ascii="Arial Black" w:hAnsi="Arial Black"/>
                <w:color w:val="999999"/>
                <w:sz w:val="36"/>
                <w:szCs w:val="36"/>
              </w:rPr>
            </w:pPr>
          </w:p>
          <w:p w:rsidR="00513FB9" w:rsidRDefault="00A85F92" w:rsidP="006D2C51">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30357A96" wp14:editId="0EAC970D">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513FB9" w:rsidRDefault="00513FB9" w:rsidP="006D2C51">
            <w:pPr>
              <w:pStyle w:val="Infotext"/>
              <w:rPr>
                <w:rFonts w:ascii="Arial Black" w:hAnsi="Arial Black" w:cs="Arial"/>
                <w:sz w:val="36"/>
                <w:szCs w:val="36"/>
              </w:rPr>
            </w:pPr>
          </w:p>
        </w:tc>
      </w:tr>
      <w:tr w:rsidR="002A2389" w:rsidTr="00BD5A55">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3"/>
            <w:tcBorders>
              <w:bottom w:val="single" w:sz="18" w:space="0" w:color="auto"/>
            </w:tcBorders>
          </w:tcPr>
          <w:p w:rsidR="002C1794" w:rsidRPr="00BE1C78" w:rsidRDefault="00BE1C78" w:rsidP="00D32B51">
            <w:pPr>
              <w:pStyle w:val="Infotext"/>
              <w:rPr>
                <w:rFonts w:ascii="Arial Black" w:hAnsi="Arial Black" w:cs="Arial"/>
                <w:sz w:val="36"/>
                <w:szCs w:val="36"/>
              </w:rPr>
            </w:pPr>
            <w:r w:rsidRPr="00BE1C78">
              <w:rPr>
                <w:rFonts w:ascii="Arial Black" w:hAnsi="Arial Black" w:cs="Arial"/>
                <w:sz w:val="36"/>
                <w:szCs w:val="36"/>
              </w:rPr>
              <w:t>HEALTH AND WELLBEING BOARD</w:t>
            </w:r>
          </w:p>
        </w:tc>
      </w:tr>
      <w:tr w:rsidR="002A2389" w:rsidTr="00BD5A55">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3"/>
            <w:tcBorders>
              <w:top w:val="single" w:sz="18" w:space="0" w:color="auto"/>
            </w:tcBorders>
          </w:tcPr>
          <w:p w:rsidR="002A2389" w:rsidRDefault="007823CD">
            <w:pPr>
              <w:pStyle w:val="Infotext"/>
              <w:rPr>
                <w:rFonts w:cs="Arial"/>
              </w:rPr>
            </w:pPr>
            <w:r>
              <w:rPr>
                <w:rFonts w:cs="Arial"/>
              </w:rPr>
              <w:t>17</w:t>
            </w:r>
            <w:r w:rsidRPr="007823CD">
              <w:rPr>
                <w:rFonts w:cs="Arial"/>
                <w:vertAlign w:val="superscript"/>
              </w:rPr>
              <w:t>th</w:t>
            </w:r>
            <w:r>
              <w:rPr>
                <w:rFonts w:cs="Arial"/>
              </w:rPr>
              <w:t xml:space="preserve"> March 2020</w:t>
            </w:r>
          </w:p>
        </w:tc>
      </w:tr>
      <w:tr w:rsidR="002A2389" w:rsidTr="00BD5A55">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3"/>
          </w:tcPr>
          <w:p w:rsidR="002A2389" w:rsidRDefault="003E0668" w:rsidP="003E0668">
            <w:pPr>
              <w:pStyle w:val="Infotext"/>
              <w:rPr>
                <w:rFonts w:cs="Arial"/>
              </w:rPr>
            </w:pPr>
            <w:r>
              <w:rPr>
                <w:rFonts w:cs="Arial"/>
              </w:rPr>
              <w:t xml:space="preserve">Adult Social Care </w:t>
            </w:r>
            <w:r w:rsidR="007823CD">
              <w:rPr>
                <w:rFonts w:cs="Arial"/>
              </w:rPr>
              <w:t xml:space="preserve">Peer Review </w:t>
            </w:r>
          </w:p>
        </w:tc>
      </w:tr>
      <w:tr w:rsidR="002A2389" w:rsidTr="00BD5A55">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3"/>
          </w:tcPr>
          <w:p w:rsidR="007823CD" w:rsidRDefault="007823CD">
            <w:pPr>
              <w:pStyle w:val="Infotext"/>
              <w:rPr>
                <w:rFonts w:cs="Arial"/>
              </w:rPr>
            </w:pPr>
            <w:r>
              <w:rPr>
                <w:rFonts w:cs="Arial"/>
              </w:rPr>
              <w:t xml:space="preserve">Angela Morris </w:t>
            </w:r>
          </w:p>
          <w:p w:rsidR="002A2389" w:rsidRDefault="007823CD">
            <w:pPr>
              <w:pStyle w:val="Infotext"/>
              <w:rPr>
                <w:rFonts w:cs="Arial"/>
              </w:rPr>
            </w:pPr>
            <w:r>
              <w:rPr>
                <w:rFonts w:cs="Arial"/>
              </w:rPr>
              <w:t>Director of Adult Social Services</w:t>
            </w:r>
          </w:p>
          <w:p w:rsidR="007D56C8" w:rsidRDefault="007D56C8">
            <w:pPr>
              <w:pStyle w:val="Infotext"/>
              <w:rPr>
                <w:rFonts w:cs="Arial"/>
              </w:rPr>
            </w:pPr>
          </w:p>
        </w:tc>
      </w:tr>
      <w:tr w:rsidR="002A2389" w:rsidTr="00BD5A55">
        <w:tc>
          <w:tcPr>
            <w:tcW w:w="3456" w:type="dxa"/>
          </w:tcPr>
          <w:p w:rsidR="002A2389" w:rsidRPr="00F92398" w:rsidRDefault="00BE1C78">
            <w:pPr>
              <w:pStyle w:val="Infotext"/>
              <w:rPr>
                <w:rFonts w:ascii="Arial Black" w:hAnsi="Arial Black" w:cs="Arial"/>
              </w:rPr>
            </w:pPr>
            <w:r>
              <w:rPr>
                <w:rFonts w:ascii="Arial Black" w:hAnsi="Arial Black" w:cs="Arial"/>
              </w:rPr>
              <w:t>Public</w:t>
            </w:r>
            <w:r w:rsidR="002A2389" w:rsidRPr="00F92398">
              <w:rPr>
                <w:rFonts w:ascii="Arial Black" w:hAnsi="Arial Black" w:cs="Arial"/>
              </w:rPr>
              <w:t>:</w:t>
            </w:r>
          </w:p>
          <w:p w:rsidR="002A2389" w:rsidRPr="00F92398" w:rsidRDefault="002A2389">
            <w:pPr>
              <w:pStyle w:val="Infotext"/>
              <w:rPr>
                <w:rFonts w:ascii="Arial Black" w:hAnsi="Arial Black" w:cs="Arial"/>
              </w:rPr>
            </w:pPr>
          </w:p>
        </w:tc>
        <w:tc>
          <w:tcPr>
            <w:tcW w:w="5508" w:type="dxa"/>
            <w:gridSpan w:val="3"/>
          </w:tcPr>
          <w:p w:rsidR="007823CD" w:rsidRDefault="002A2389" w:rsidP="007823CD">
            <w:pPr>
              <w:pStyle w:val="Infotext"/>
              <w:rPr>
                <w:rFonts w:cs="Arial"/>
              </w:rPr>
            </w:pPr>
            <w:r>
              <w:rPr>
                <w:rFonts w:cs="Arial"/>
              </w:rPr>
              <w:t xml:space="preserve">Yes </w:t>
            </w:r>
          </w:p>
          <w:p w:rsidR="002A2389" w:rsidRDefault="002A2389">
            <w:pPr>
              <w:pStyle w:val="Infotext"/>
              <w:rPr>
                <w:rFonts w:cs="Arial"/>
              </w:rPr>
            </w:pPr>
          </w:p>
        </w:tc>
      </w:tr>
      <w:tr w:rsidR="00A51FAE" w:rsidTr="00BD5A55">
        <w:tc>
          <w:tcPr>
            <w:tcW w:w="3456" w:type="dxa"/>
          </w:tcPr>
          <w:p w:rsidR="00A51FAE" w:rsidRDefault="00A51FAE">
            <w:pPr>
              <w:pStyle w:val="Infotext"/>
              <w:rPr>
                <w:rFonts w:ascii="Arial Black" w:hAnsi="Arial Black" w:cs="Arial"/>
              </w:rPr>
            </w:pPr>
            <w:r>
              <w:rPr>
                <w:rFonts w:ascii="Arial Black" w:hAnsi="Arial Black" w:cs="Arial"/>
              </w:rPr>
              <w:t>Wards affected:</w:t>
            </w:r>
          </w:p>
          <w:p w:rsidR="00A51FAE" w:rsidRPr="00F92398" w:rsidRDefault="00A51FAE">
            <w:pPr>
              <w:pStyle w:val="Infotext"/>
              <w:rPr>
                <w:rFonts w:ascii="Arial Black" w:hAnsi="Arial Black" w:cs="Arial"/>
              </w:rPr>
            </w:pPr>
          </w:p>
        </w:tc>
        <w:tc>
          <w:tcPr>
            <w:tcW w:w="5508" w:type="dxa"/>
            <w:gridSpan w:val="3"/>
          </w:tcPr>
          <w:p w:rsidR="00A50388" w:rsidRPr="00BD5A55" w:rsidRDefault="007823CD">
            <w:pPr>
              <w:pStyle w:val="Infotext"/>
              <w:rPr>
                <w:color w:val="FF0000"/>
              </w:rPr>
            </w:pPr>
            <w:r w:rsidRPr="00BD5A55">
              <w:t>All</w:t>
            </w:r>
            <w:r w:rsidR="00BD5A55" w:rsidRPr="00BD5A55">
              <w:t xml:space="preserve"> Wards</w:t>
            </w:r>
          </w:p>
        </w:tc>
      </w:tr>
      <w:tr w:rsidR="002A2389" w:rsidTr="00BD5A55">
        <w:tc>
          <w:tcPr>
            <w:tcW w:w="3456" w:type="dxa"/>
          </w:tcPr>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3"/>
          </w:tcPr>
          <w:p w:rsidR="00734C13" w:rsidRDefault="00734C13">
            <w:pPr>
              <w:pStyle w:val="Infotext"/>
            </w:pPr>
            <w:r>
              <w:t>None</w:t>
            </w:r>
          </w:p>
          <w:p w:rsidR="00734C13" w:rsidRDefault="00734C13">
            <w:pPr>
              <w:pStyle w:val="Infotext"/>
            </w:pPr>
          </w:p>
        </w:tc>
      </w:tr>
      <w:tr w:rsidR="00675FCB" w:rsidTr="00BD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7" w:type="dxa"/>
        </w:trPr>
        <w:tc>
          <w:tcPr>
            <w:tcW w:w="8897" w:type="dxa"/>
            <w:gridSpan w:val="2"/>
            <w:tcBorders>
              <w:top w:val="nil"/>
              <w:left w:val="nil"/>
              <w:right w:val="nil"/>
            </w:tcBorders>
          </w:tcPr>
          <w:p w:rsidR="00675FCB" w:rsidRDefault="00675FCB" w:rsidP="00675FCB">
            <w:pPr>
              <w:pStyle w:val="Heading1"/>
            </w:pPr>
            <w:r>
              <w:t>Section 1 – Summary and Recommendations</w:t>
            </w:r>
          </w:p>
          <w:p w:rsidR="00675FCB" w:rsidRDefault="00675FCB"/>
        </w:tc>
      </w:tr>
      <w:tr w:rsidR="002A2389" w:rsidTr="00BD5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67" w:type="dxa"/>
        </w:trPr>
        <w:tc>
          <w:tcPr>
            <w:tcW w:w="8897" w:type="dxa"/>
            <w:gridSpan w:val="2"/>
          </w:tcPr>
          <w:p w:rsidR="00AC69D6" w:rsidRDefault="002A2389" w:rsidP="00734C13">
            <w:pPr>
              <w:rPr>
                <w:rFonts w:cs="Arial"/>
                <w:szCs w:val="24"/>
                <w:lang w:val="en"/>
              </w:rPr>
            </w:pPr>
            <w:r w:rsidRPr="00D876F6">
              <w:rPr>
                <w:szCs w:val="24"/>
              </w:rPr>
              <w:t>This report sets out</w:t>
            </w:r>
            <w:r w:rsidR="007823CD" w:rsidRPr="00D876F6">
              <w:rPr>
                <w:szCs w:val="24"/>
              </w:rPr>
              <w:t xml:space="preserve"> the </w:t>
            </w:r>
            <w:r w:rsidR="003E0668" w:rsidRPr="00D876F6">
              <w:rPr>
                <w:szCs w:val="24"/>
              </w:rPr>
              <w:t xml:space="preserve">outcomes and next steps </w:t>
            </w:r>
            <w:r w:rsidR="007823CD" w:rsidRPr="00D876F6">
              <w:rPr>
                <w:szCs w:val="24"/>
              </w:rPr>
              <w:t xml:space="preserve">from the recent </w:t>
            </w:r>
            <w:r w:rsidR="00BD5A55">
              <w:rPr>
                <w:szCs w:val="24"/>
              </w:rPr>
              <w:t xml:space="preserve">Local Government Association (LGA) and </w:t>
            </w:r>
            <w:r w:rsidR="007823CD" w:rsidRPr="00D876F6">
              <w:rPr>
                <w:szCs w:val="24"/>
              </w:rPr>
              <w:t>Association of Directors Adults Social Services</w:t>
            </w:r>
            <w:r w:rsidR="00BD5A55" w:rsidRPr="00D876F6">
              <w:rPr>
                <w:szCs w:val="24"/>
              </w:rPr>
              <w:t xml:space="preserve"> </w:t>
            </w:r>
            <w:r w:rsidR="00BD5A55">
              <w:rPr>
                <w:szCs w:val="24"/>
              </w:rPr>
              <w:t>(</w:t>
            </w:r>
            <w:r w:rsidR="00BD5A55" w:rsidRPr="00D876F6">
              <w:rPr>
                <w:szCs w:val="24"/>
              </w:rPr>
              <w:t>ADASS</w:t>
            </w:r>
            <w:r w:rsidR="007823CD" w:rsidRPr="00D876F6">
              <w:rPr>
                <w:szCs w:val="24"/>
              </w:rPr>
              <w:t xml:space="preserve">) Peer Review which took place in February 2020. </w:t>
            </w:r>
          </w:p>
          <w:p w:rsidR="00734C13" w:rsidRDefault="00734C13" w:rsidP="00AD334A">
            <w:pPr>
              <w:rPr>
                <w:rFonts w:cs="Arial"/>
                <w:szCs w:val="24"/>
                <w:lang w:val="en"/>
              </w:rPr>
            </w:pPr>
          </w:p>
          <w:p w:rsidR="002A2389" w:rsidRDefault="002A2389">
            <w:pPr>
              <w:pStyle w:val="Heading2"/>
              <w:rPr>
                <w:sz w:val="24"/>
                <w:szCs w:val="24"/>
              </w:rPr>
            </w:pPr>
            <w:r w:rsidRPr="00D876F6">
              <w:rPr>
                <w:sz w:val="24"/>
                <w:szCs w:val="24"/>
              </w:rPr>
              <w:t xml:space="preserve">Recommendations: </w:t>
            </w:r>
          </w:p>
          <w:p w:rsidR="00BD5A55" w:rsidRPr="00BD5A55" w:rsidRDefault="00BD5A55" w:rsidP="00BD5A55"/>
          <w:p w:rsidR="002A2389" w:rsidRPr="00D876F6" w:rsidRDefault="002A2389">
            <w:pPr>
              <w:rPr>
                <w:szCs w:val="24"/>
              </w:rPr>
            </w:pPr>
            <w:r w:rsidRPr="00D876F6">
              <w:rPr>
                <w:szCs w:val="24"/>
              </w:rPr>
              <w:t xml:space="preserve">The </w:t>
            </w:r>
            <w:r w:rsidR="00BE1C78" w:rsidRPr="00D876F6">
              <w:rPr>
                <w:szCs w:val="24"/>
              </w:rPr>
              <w:t>Board</w:t>
            </w:r>
            <w:r w:rsidR="007319AD" w:rsidRPr="00D876F6">
              <w:rPr>
                <w:szCs w:val="24"/>
              </w:rPr>
              <w:t xml:space="preserve"> is requested to </w:t>
            </w:r>
            <w:r w:rsidR="00734C13">
              <w:rPr>
                <w:szCs w:val="24"/>
              </w:rPr>
              <w:t>note</w:t>
            </w:r>
            <w:r w:rsidR="007319AD" w:rsidRPr="00D876F6">
              <w:rPr>
                <w:szCs w:val="24"/>
              </w:rPr>
              <w:t xml:space="preserve"> this report </w:t>
            </w:r>
            <w:r w:rsidR="00D876F6">
              <w:rPr>
                <w:szCs w:val="24"/>
              </w:rPr>
              <w:t>for</w:t>
            </w:r>
            <w:r w:rsidR="007319AD" w:rsidRPr="00D876F6">
              <w:rPr>
                <w:szCs w:val="24"/>
              </w:rPr>
              <w:t xml:space="preserve"> i</w:t>
            </w:r>
            <w:r w:rsidR="007823CD" w:rsidRPr="00D876F6">
              <w:rPr>
                <w:szCs w:val="24"/>
              </w:rPr>
              <w:t xml:space="preserve">nformation and </w:t>
            </w:r>
            <w:r w:rsidR="00734C13">
              <w:rPr>
                <w:szCs w:val="24"/>
              </w:rPr>
              <w:t xml:space="preserve">agree </w:t>
            </w:r>
            <w:r w:rsidR="007319AD" w:rsidRPr="00D876F6">
              <w:rPr>
                <w:szCs w:val="24"/>
              </w:rPr>
              <w:t xml:space="preserve">that </w:t>
            </w:r>
            <w:r w:rsidR="007823CD" w:rsidRPr="00D876F6">
              <w:rPr>
                <w:szCs w:val="24"/>
              </w:rPr>
              <w:t xml:space="preserve">regular updates regarding progress against the </w:t>
            </w:r>
            <w:r w:rsidR="007319AD" w:rsidRPr="00D876F6">
              <w:rPr>
                <w:szCs w:val="24"/>
              </w:rPr>
              <w:t xml:space="preserve">learning and </w:t>
            </w:r>
            <w:r w:rsidR="007823CD" w:rsidRPr="00D876F6">
              <w:rPr>
                <w:szCs w:val="24"/>
              </w:rPr>
              <w:t>action plan will be provided.</w:t>
            </w:r>
          </w:p>
          <w:p w:rsidR="002A2389" w:rsidRDefault="002A2389">
            <w:pPr>
              <w:jc w:val="both"/>
              <w:rPr>
                <w:rFonts w:cs="Arial"/>
              </w:rPr>
            </w:pPr>
          </w:p>
        </w:tc>
      </w:tr>
    </w:tbl>
    <w:p w:rsidR="00FF71E5" w:rsidRDefault="00FF71E5">
      <w:pPr>
        <w:pStyle w:val="Heading1"/>
        <w:jc w:val="both"/>
        <w:sectPr w:rsidR="00FF71E5" w:rsidSect="00D876F6">
          <w:pgSz w:w="11909" w:h="16834" w:code="9"/>
          <w:pgMar w:top="864" w:right="1800" w:bottom="1276"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BE1C78" w:rsidRDefault="00BE1C78" w:rsidP="00BD5A55">
      <w:pPr>
        <w:pStyle w:val="Heading2"/>
        <w:rPr>
          <w:color w:val="0000FF"/>
        </w:rPr>
      </w:pPr>
    </w:p>
    <w:p w:rsidR="00734C13" w:rsidRPr="00BD5A55" w:rsidRDefault="00734C13" w:rsidP="000D71CA">
      <w:pPr>
        <w:pStyle w:val="ListParagraph"/>
        <w:numPr>
          <w:ilvl w:val="0"/>
          <w:numId w:val="17"/>
        </w:numPr>
        <w:ind w:hanging="928"/>
        <w:jc w:val="both"/>
        <w:rPr>
          <w:szCs w:val="24"/>
        </w:rPr>
      </w:pPr>
      <w:r w:rsidRPr="00BD5A55">
        <w:rPr>
          <w:szCs w:val="24"/>
        </w:rPr>
        <w:t xml:space="preserve">The theme of the ADASS Peer Review was Commissioning for Better Outcomes. The team of reviewers were provided with a self-assessment and numerous supporting documents prior to the Review. Interviews took place over a three day period with a wide range of involved partners and staff. This included elected members, senior managers and care management staff. The Review Team met colleagues that we </w:t>
      </w:r>
      <w:r w:rsidR="00603399">
        <w:rPr>
          <w:szCs w:val="24"/>
        </w:rPr>
        <w:t>work with regularly across the C</w:t>
      </w:r>
      <w:r w:rsidRPr="00BD5A55">
        <w:rPr>
          <w:szCs w:val="24"/>
        </w:rPr>
        <w:t xml:space="preserve">ouncil and particularly in relation to integration plans with senior leaders from </w:t>
      </w:r>
      <w:r w:rsidR="00603399">
        <w:rPr>
          <w:szCs w:val="24"/>
        </w:rPr>
        <w:t>Harrow</w:t>
      </w:r>
      <w:r w:rsidRPr="00BD5A55">
        <w:rPr>
          <w:szCs w:val="24"/>
        </w:rPr>
        <w:t xml:space="preserve"> CCG. They also met citizens who use Harrow services, their family and carers as well as a range of commissioned providers. In-house services were also visited. </w:t>
      </w:r>
    </w:p>
    <w:p w:rsidR="00734C13" w:rsidRPr="00D876F6" w:rsidRDefault="00734C13" w:rsidP="000D71CA">
      <w:pPr>
        <w:ind w:hanging="928"/>
        <w:jc w:val="both"/>
        <w:rPr>
          <w:szCs w:val="24"/>
        </w:rPr>
      </w:pPr>
    </w:p>
    <w:p w:rsidR="00734C13" w:rsidRPr="00BD5A55" w:rsidRDefault="00734C13" w:rsidP="000D71CA">
      <w:pPr>
        <w:pStyle w:val="ListParagraph"/>
        <w:numPr>
          <w:ilvl w:val="0"/>
          <w:numId w:val="17"/>
        </w:numPr>
        <w:ind w:hanging="928"/>
        <w:jc w:val="both"/>
        <w:rPr>
          <w:rFonts w:cs="Arial"/>
          <w:szCs w:val="24"/>
          <w:lang w:val="en"/>
        </w:rPr>
      </w:pPr>
      <w:r w:rsidRPr="00BD5A55">
        <w:rPr>
          <w:szCs w:val="24"/>
        </w:rPr>
        <w:t xml:space="preserve">The methodology for assessment is from a document called Commissioning for Better Outcomes. This is a recognised and respected document containing nine standards. </w:t>
      </w:r>
      <w:r w:rsidRPr="00BD5A55">
        <w:rPr>
          <w:rFonts w:cs="Arial"/>
          <w:szCs w:val="24"/>
          <w:lang w:val="en"/>
        </w:rPr>
        <w:t>They are designed to assist councils drive improvement, providing a framework for self-assessment and measurement of their progress against best practice in commissioning and enable them to identify areas for further improvement.</w:t>
      </w:r>
    </w:p>
    <w:p w:rsidR="00734C13" w:rsidRPr="00734C13" w:rsidRDefault="00734C13" w:rsidP="000D71CA">
      <w:pPr>
        <w:ind w:hanging="928"/>
        <w:jc w:val="both"/>
      </w:pPr>
    </w:p>
    <w:p w:rsidR="0092092F" w:rsidRDefault="006D07FC" w:rsidP="000D71CA">
      <w:pPr>
        <w:pStyle w:val="ListParagraph"/>
        <w:numPr>
          <w:ilvl w:val="0"/>
          <w:numId w:val="17"/>
        </w:numPr>
        <w:ind w:hanging="928"/>
        <w:jc w:val="both"/>
      </w:pPr>
      <w:r w:rsidRPr="0092092F">
        <w:t>The Peer Review T</w:t>
      </w:r>
      <w:r w:rsidR="007319AD">
        <w:t>eam looked at a number of d</w:t>
      </w:r>
      <w:r w:rsidRPr="0092092F">
        <w:t>omains to establish the performance of Harrow Adult Service</w:t>
      </w:r>
      <w:r w:rsidR="007319AD">
        <w:t xml:space="preserve"> commissioning process</w:t>
      </w:r>
      <w:r w:rsidRPr="0092092F">
        <w:t xml:space="preserve">. </w:t>
      </w:r>
      <w:r w:rsidR="0092092F" w:rsidRPr="0092092F">
        <w:t>They were looking to see evidence that services in Harrow were</w:t>
      </w:r>
      <w:r w:rsidR="0092092F">
        <w:t xml:space="preserve"> m</w:t>
      </w:r>
      <w:r w:rsidR="007319AD">
        <w:t xml:space="preserve">eeting those standards. </w:t>
      </w:r>
    </w:p>
    <w:p w:rsidR="00734C13" w:rsidRPr="0092092F" w:rsidRDefault="00734C13" w:rsidP="000D71CA">
      <w:pPr>
        <w:jc w:val="both"/>
      </w:pPr>
    </w:p>
    <w:p w:rsidR="002A2389" w:rsidRDefault="00251A1F" w:rsidP="000D71CA">
      <w:pPr>
        <w:pStyle w:val="ListParagraph"/>
        <w:numPr>
          <w:ilvl w:val="0"/>
          <w:numId w:val="17"/>
        </w:numPr>
        <w:ind w:hanging="928"/>
        <w:jc w:val="both"/>
      </w:pPr>
      <w:r w:rsidRPr="0092092F">
        <w:t xml:space="preserve">There are </w:t>
      </w:r>
      <w:r w:rsidR="007319AD">
        <w:t>nine</w:t>
      </w:r>
      <w:r w:rsidRPr="0092092F">
        <w:t xml:space="preserve"> domains or standards </w:t>
      </w:r>
      <w:r w:rsidR="00734C13">
        <w:t xml:space="preserve">in total. The </w:t>
      </w:r>
      <w:r w:rsidR="007319AD">
        <w:t>three</w:t>
      </w:r>
      <w:r w:rsidRPr="0092092F">
        <w:t xml:space="preserve"> main themes </w:t>
      </w:r>
      <w:r w:rsidR="007319AD">
        <w:t xml:space="preserve">that were reviewed </w:t>
      </w:r>
      <w:r w:rsidR="00734C13">
        <w:t>a</w:t>
      </w:r>
      <w:r w:rsidR="007319AD">
        <w:t>re:</w:t>
      </w:r>
    </w:p>
    <w:p w:rsidR="00734C13" w:rsidRPr="0092092F" w:rsidRDefault="00734C13" w:rsidP="000D71CA">
      <w:pPr>
        <w:jc w:val="both"/>
      </w:pPr>
    </w:p>
    <w:p w:rsidR="006D07FC" w:rsidRPr="0092092F" w:rsidRDefault="006D07FC" w:rsidP="000D71CA">
      <w:pPr>
        <w:pStyle w:val="ListParagraph"/>
        <w:numPr>
          <w:ilvl w:val="0"/>
          <w:numId w:val="19"/>
        </w:numPr>
        <w:ind w:firstLine="65"/>
        <w:jc w:val="both"/>
      </w:pPr>
      <w:r w:rsidRPr="0092092F">
        <w:t xml:space="preserve">Person Centred and </w:t>
      </w:r>
      <w:r w:rsidR="007319AD">
        <w:t>O</w:t>
      </w:r>
      <w:r w:rsidRPr="0092092F">
        <w:t xml:space="preserve">utcome </w:t>
      </w:r>
      <w:r w:rsidR="007319AD">
        <w:t>F</w:t>
      </w:r>
      <w:r w:rsidRPr="0092092F">
        <w:t>ocussed</w:t>
      </w:r>
    </w:p>
    <w:p w:rsidR="006D07FC" w:rsidRPr="0092092F" w:rsidRDefault="006D07FC" w:rsidP="000D71CA">
      <w:pPr>
        <w:pStyle w:val="ListParagraph"/>
        <w:numPr>
          <w:ilvl w:val="0"/>
          <w:numId w:val="19"/>
        </w:numPr>
        <w:ind w:firstLine="65"/>
        <w:jc w:val="both"/>
      </w:pPr>
      <w:r w:rsidRPr="0092092F">
        <w:t xml:space="preserve">Well Led </w:t>
      </w:r>
    </w:p>
    <w:p w:rsidR="006D07FC" w:rsidRPr="0092092F" w:rsidRDefault="00734C13" w:rsidP="000D71CA">
      <w:pPr>
        <w:pStyle w:val="ListParagraph"/>
        <w:numPr>
          <w:ilvl w:val="0"/>
          <w:numId w:val="19"/>
        </w:numPr>
        <w:ind w:firstLine="65"/>
        <w:jc w:val="both"/>
      </w:pPr>
      <w:r>
        <w:t>A</w:t>
      </w:r>
      <w:r w:rsidR="004D6B90" w:rsidRPr="0092092F">
        <w:t>ctively</w:t>
      </w:r>
      <w:r w:rsidR="006D07FC" w:rsidRPr="0092092F">
        <w:t xml:space="preserve"> promoting a sustainable and diverse market. </w:t>
      </w:r>
    </w:p>
    <w:p w:rsidR="006D07FC" w:rsidRPr="0092092F" w:rsidRDefault="006D07FC" w:rsidP="000D71CA">
      <w:pPr>
        <w:jc w:val="both"/>
      </w:pPr>
    </w:p>
    <w:p w:rsidR="006D07FC" w:rsidRDefault="006D07FC" w:rsidP="000D71CA">
      <w:pPr>
        <w:pStyle w:val="ListParagraph"/>
        <w:numPr>
          <w:ilvl w:val="0"/>
          <w:numId w:val="17"/>
        </w:numPr>
        <w:ind w:hanging="928"/>
        <w:jc w:val="both"/>
      </w:pPr>
      <w:r w:rsidRPr="0092092F">
        <w:t xml:space="preserve">The review team were asked </w:t>
      </w:r>
      <w:r w:rsidR="004D6B90" w:rsidRPr="0092092F">
        <w:t xml:space="preserve">by the senior management team </w:t>
      </w:r>
      <w:r w:rsidRPr="0092092F">
        <w:t xml:space="preserve">to focus </w:t>
      </w:r>
      <w:r w:rsidR="00734C13" w:rsidRPr="0092092F">
        <w:t xml:space="preserve">particularly </w:t>
      </w:r>
      <w:r w:rsidRPr="0092092F">
        <w:t>o</w:t>
      </w:r>
      <w:r w:rsidR="00D24335" w:rsidRPr="0092092F">
        <w:t>n</w:t>
      </w:r>
      <w:r w:rsidR="004D6B90" w:rsidRPr="0092092F">
        <w:t xml:space="preserve"> the</w:t>
      </w:r>
      <w:r w:rsidR="00734C13">
        <w:t xml:space="preserve"> following </w:t>
      </w:r>
      <w:r w:rsidR="004D6B90" w:rsidRPr="0092092F">
        <w:t>areas</w:t>
      </w:r>
      <w:r w:rsidRPr="0092092F">
        <w:t>:</w:t>
      </w:r>
    </w:p>
    <w:p w:rsidR="00734C13" w:rsidRPr="0092092F" w:rsidRDefault="00734C13" w:rsidP="000D71CA">
      <w:pPr>
        <w:ind w:hanging="928"/>
        <w:jc w:val="both"/>
      </w:pPr>
    </w:p>
    <w:p w:rsidR="006D07FC" w:rsidRPr="0092092F" w:rsidRDefault="006D07FC" w:rsidP="000D71CA">
      <w:pPr>
        <w:pStyle w:val="ListParagraph"/>
        <w:numPr>
          <w:ilvl w:val="0"/>
          <w:numId w:val="18"/>
        </w:numPr>
        <w:ind w:left="1418" w:hanging="425"/>
        <w:jc w:val="both"/>
      </w:pPr>
      <w:r w:rsidRPr="0092092F">
        <w:t>Development of an adults commissioning function</w:t>
      </w:r>
    </w:p>
    <w:p w:rsidR="006D07FC" w:rsidRPr="0092092F" w:rsidRDefault="004D6B90" w:rsidP="000D71CA">
      <w:pPr>
        <w:pStyle w:val="ListParagraph"/>
        <w:numPr>
          <w:ilvl w:val="0"/>
          <w:numId w:val="18"/>
        </w:numPr>
        <w:ind w:left="1418" w:hanging="425"/>
        <w:jc w:val="both"/>
      </w:pPr>
      <w:r w:rsidRPr="0092092F">
        <w:t>Links with Safeguarding</w:t>
      </w:r>
    </w:p>
    <w:p w:rsidR="004D6B90" w:rsidRPr="0092092F" w:rsidRDefault="004D6B90" w:rsidP="000D71CA">
      <w:pPr>
        <w:pStyle w:val="ListParagraph"/>
        <w:numPr>
          <w:ilvl w:val="0"/>
          <w:numId w:val="18"/>
        </w:numPr>
        <w:ind w:left="1418" w:hanging="425"/>
        <w:jc w:val="both"/>
      </w:pPr>
      <w:r w:rsidRPr="0092092F">
        <w:t>Integration and context for further joint commissioning with our health partners</w:t>
      </w:r>
    </w:p>
    <w:p w:rsidR="004D6B90" w:rsidRDefault="004D6B90" w:rsidP="000D71CA">
      <w:pPr>
        <w:jc w:val="both"/>
      </w:pPr>
    </w:p>
    <w:p w:rsidR="00734C13" w:rsidRPr="00603399" w:rsidRDefault="00603399" w:rsidP="000D71CA">
      <w:pPr>
        <w:jc w:val="both"/>
        <w:rPr>
          <w:b/>
        </w:rPr>
      </w:pPr>
      <w:r>
        <w:rPr>
          <w:b/>
        </w:rPr>
        <w:t xml:space="preserve">Peer </w:t>
      </w:r>
      <w:r w:rsidR="00734C13" w:rsidRPr="00603399">
        <w:rPr>
          <w:b/>
        </w:rPr>
        <w:t>Review Findings</w:t>
      </w:r>
    </w:p>
    <w:p w:rsidR="004D6B90" w:rsidRPr="0092092F" w:rsidRDefault="004D6B90" w:rsidP="000D71CA">
      <w:pPr>
        <w:pStyle w:val="ListParagraph"/>
        <w:numPr>
          <w:ilvl w:val="0"/>
          <w:numId w:val="17"/>
        </w:numPr>
        <w:ind w:hanging="928"/>
        <w:jc w:val="both"/>
      </w:pPr>
      <w:r w:rsidRPr="0092092F">
        <w:t xml:space="preserve">There </w:t>
      </w:r>
      <w:r w:rsidR="00D24335" w:rsidRPr="0092092F">
        <w:t>have not been any formal adult commissioning processes i</w:t>
      </w:r>
      <w:r w:rsidRPr="0092092F">
        <w:t xml:space="preserve">n Harrow for a number of years and plans and proposals were already underway </w:t>
      </w:r>
      <w:r w:rsidR="00D24335" w:rsidRPr="0092092F">
        <w:t xml:space="preserve">to </w:t>
      </w:r>
      <w:r w:rsidR="00C45B39" w:rsidRPr="0092092F">
        <w:t xml:space="preserve">address </w:t>
      </w:r>
      <w:r w:rsidR="00734C13">
        <w:t>this gap. These</w:t>
      </w:r>
      <w:r w:rsidR="00C45B39" w:rsidRPr="0092092F">
        <w:t xml:space="preserve"> plans and proposals were also open to the review </w:t>
      </w:r>
      <w:r w:rsidR="00D876F6" w:rsidRPr="0092092F">
        <w:t>team’s</w:t>
      </w:r>
      <w:r w:rsidR="00C45B39" w:rsidRPr="0092092F">
        <w:t xml:space="preserve"> scrutiny</w:t>
      </w:r>
      <w:r w:rsidR="007319AD">
        <w:t xml:space="preserve"> and were shared in the self-assessment</w:t>
      </w:r>
      <w:r w:rsidR="00C45B39" w:rsidRPr="0092092F">
        <w:t>.</w:t>
      </w:r>
    </w:p>
    <w:p w:rsidR="00C45B39" w:rsidRPr="0092092F" w:rsidRDefault="00C45B39" w:rsidP="000D71CA">
      <w:pPr>
        <w:jc w:val="both"/>
      </w:pPr>
    </w:p>
    <w:p w:rsidR="00C45B39" w:rsidRDefault="00C45B39" w:rsidP="000D71CA">
      <w:pPr>
        <w:pStyle w:val="ListParagraph"/>
        <w:numPr>
          <w:ilvl w:val="0"/>
          <w:numId w:val="17"/>
        </w:numPr>
        <w:ind w:hanging="928"/>
        <w:jc w:val="both"/>
      </w:pPr>
      <w:r w:rsidRPr="0092092F">
        <w:t xml:space="preserve">Under each of the </w:t>
      </w:r>
      <w:r w:rsidR="007319AD">
        <w:t>nine</w:t>
      </w:r>
      <w:r w:rsidR="00B90D1E" w:rsidRPr="0092092F">
        <w:t xml:space="preserve"> </w:t>
      </w:r>
      <w:r w:rsidRPr="0092092F">
        <w:t>standards in the self-assessment the review team made comment</w:t>
      </w:r>
      <w:r w:rsidR="00734C13">
        <w:t>s</w:t>
      </w:r>
      <w:r w:rsidRPr="0092092F">
        <w:t xml:space="preserve"> on what was </w:t>
      </w:r>
      <w:r w:rsidR="007319AD">
        <w:t xml:space="preserve">already </w:t>
      </w:r>
      <w:r w:rsidRPr="0092092F">
        <w:t xml:space="preserve">working well and made </w:t>
      </w:r>
      <w:r w:rsidRPr="0092092F">
        <w:lastRenderedPageBreak/>
        <w:t xml:space="preserve">some recommendations on which areas or opportunities we may want to consider further. </w:t>
      </w:r>
    </w:p>
    <w:p w:rsidR="007319AD" w:rsidRDefault="007319AD" w:rsidP="000D71CA">
      <w:pPr>
        <w:ind w:left="928" w:hanging="928"/>
        <w:jc w:val="both"/>
      </w:pPr>
    </w:p>
    <w:p w:rsidR="001B66A3" w:rsidRPr="0092092F" w:rsidRDefault="007319AD" w:rsidP="000D71CA">
      <w:pPr>
        <w:pStyle w:val="ListParagraph"/>
        <w:numPr>
          <w:ilvl w:val="0"/>
          <w:numId w:val="17"/>
        </w:numPr>
        <w:ind w:hanging="928"/>
        <w:jc w:val="both"/>
      </w:pPr>
      <w:r>
        <w:t xml:space="preserve">The review team found that the views of citizens and their carers were that </w:t>
      </w:r>
      <w:r w:rsidR="00AF6C1B">
        <w:t>staff in Harrow Social Services teams and services were positive</w:t>
      </w:r>
      <w:r w:rsidR="007252EF">
        <w:t xml:space="preserve">, </w:t>
      </w:r>
      <w:r w:rsidR="00AF6C1B">
        <w:t xml:space="preserve">hardworking and responsive to meeting their needs. </w:t>
      </w:r>
      <w:r w:rsidR="001B66A3">
        <w:t>There was also recognition for the good work carried out by the Safeguarding Assurance and Quality Teams who work closely with the commissioned residential care providers to help drive up and maintain quality services across the area. It was acknowledge</w:t>
      </w:r>
      <w:r w:rsidR="007252EF">
        <w:t>d</w:t>
      </w:r>
      <w:r w:rsidR="001B66A3">
        <w:t xml:space="preserve"> that this positive approach should be celebrated and used as a building block to widening that impact across all providers.</w:t>
      </w:r>
    </w:p>
    <w:p w:rsidR="0092092F" w:rsidRDefault="0092092F" w:rsidP="000D71CA">
      <w:pPr>
        <w:jc w:val="both"/>
      </w:pPr>
    </w:p>
    <w:p w:rsidR="007252EF" w:rsidRPr="00603399" w:rsidRDefault="007252EF" w:rsidP="000D71CA">
      <w:pPr>
        <w:jc w:val="both"/>
        <w:rPr>
          <w:b/>
        </w:rPr>
      </w:pPr>
      <w:r w:rsidRPr="00603399">
        <w:rPr>
          <w:b/>
        </w:rPr>
        <w:t>Next Steps</w:t>
      </w:r>
    </w:p>
    <w:p w:rsidR="007252EF" w:rsidRDefault="0092092F" w:rsidP="000D71CA">
      <w:pPr>
        <w:pStyle w:val="ListParagraph"/>
        <w:numPr>
          <w:ilvl w:val="0"/>
          <w:numId w:val="17"/>
        </w:numPr>
        <w:ind w:hanging="928"/>
        <w:jc w:val="both"/>
      </w:pPr>
      <w:r w:rsidRPr="0092092F">
        <w:t xml:space="preserve">These recommendations are </w:t>
      </w:r>
      <w:r w:rsidR="00AF6C1B">
        <w:t xml:space="preserve">now </w:t>
      </w:r>
      <w:r w:rsidRPr="0092092F">
        <w:t xml:space="preserve">being collated into a comprehensive learning and action plan. </w:t>
      </w:r>
      <w:r>
        <w:t>This plan will</w:t>
      </w:r>
      <w:r w:rsidR="007252EF">
        <w:t xml:space="preserve"> have action owners allocated</w:t>
      </w:r>
      <w:r w:rsidR="00AF6C1B">
        <w:t xml:space="preserve"> and appropriate timescales for completion agreed</w:t>
      </w:r>
      <w:r w:rsidR="007252EF">
        <w:t xml:space="preserve">. </w:t>
      </w:r>
      <w:r w:rsidR="007252EF" w:rsidRPr="007E4711">
        <w:t>Given the importance of the development of Harrow’s Integrated Care Partnership (ICP), partners will be involved in the development and implementation of the plan accordingly.</w:t>
      </w:r>
    </w:p>
    <w:p w:rsidR="007252EF" w:rsidRDefault="007252EF" w:rsidP="000D71CA">
      <w:pPr>
        <w:ind w:hanging="928"/>
        <w:jc w:val="both"/>
      </w:pPr>
    </w:p>
    <w:p w:rsidR="0092092F" w:rsidRPr="0092092F" w:rsidRDefault="007252EF" w:rsidP="000D71CA">
      <w:pPr>
        <w:pStyle w:val="ListParagraph"/>
        <w:numPr>
          <w:ilvl w:val="0"/>
          <w:numId w:val="17"/>
        </w:numPr>
        <w:ind w:hanging="928"/>
        <w:jc w:val="both"/>
      </w:pPr>
      <w:r w:rsidRPr="007E4711">
        <w:t>T</w:t>
      </w:r>
      <w:r w:rsidR="0092092F" w:rsidRPr="007E4711">
        <w:t xml:space="preserve">his plan will be monitored through </w:t>
      </w:r>
      <w:r w:rsidRPr="007E4711">
        <w:t>the People Services</w:t>
      </w:r>
      <w:r w:rsidR="00AF6C1B" w:rsidRPr="007E4711">
        <w:t xml:space="preserve"> </w:t>
      </w:r>
      <w:r w:rsidRPr="007E4711">
        <w:t>Commissioning B</w:t>
      </w:r>
      <w:r w:rsidR="0092092F" w:rsidRPr="007E4711">
        <w:t>oard</w:t>
      </w:r>
      <w:r w:rsidRPr="007E4711">
        <w:t xml:space="preserve"> </w:t>
      </w:r>
      <w:r w:rsidR="00AF6C1B" w:rsidRPr="007E4711">
        <w:t>that has recently been established</w:t>
      </w:r>
      <w:r w:rsidRPr="007E4711">
        <w:t xml:space="preserve"> and officers will explore how partners are involved in this process.</w:t>
      </w:r>
      <w:r>
        <w:t xml:space="preserve"> T</w:t>
      </w:r>
      <w:r w:rsidR="00D876F6">
        <w:t>he</w:t>
      </w:r>
      <w:r w:rsidR="00AF6C1B">
        <w:t xml:space="preserve"> </w:t>
      </w:r>
      <w:r w:rsidR="0092092F">
        <w:t xml:space="preserve">progress and achievements </w:t>
      </w:r>
      <w:r w:rsidR="00D876F6">
        <w:t xml:space="preserve">will be </w:t>
      </w:r>
      <w:r w:rsidR="0092092F">
        <w:t xml:space="preserve">reported back to </w:t>
      </w:r>
      <w:r>
        <w:t xml:space="preserve">the Health and Wellbeing Board </w:t>
      </w:r>
      <w:r w:rsidR="0092092F">
        <w:t>at regular intervals.</w:t>
      </w:r>
    </w:p>
    <w:p w:rsidR="00B90D1E" w:rsidRDefault="00B90D1E" w:rsidP="000D71CA">
      <w:pPr>
        <w:ind w:hanging="928"/>
        <w:jc w:val="both"/>
        <w:rPr>
          <w:color w:val="0000FF"/>
        </w:rPr>
      </w:pPr>
    </w:p>
    <w:p w:rsidR="002A2389" w:rsidRDefault="00AF6C1B" w:rsidP="000D71CA">
      <w:pPr>
        <w:pStyle w:val="ListParagraph"/>
        <w:numPr>
          <w:ilvl w:val="0"/>
          <w:numId w:val="17"/>
        </w:numPr>
        <w:ind w:hanging="928"/>
        <w:jc w:val="both"/>
      </w:pPr>
      <w:r w:rsidRPr="00AF6C1B">
        <w:t>There will not at this stage be any resource implications as plans were already in place to undertake most of this work</w:t>
      </w:r>
      <w:r w:rsidR="001B66A3">
        <w:t xml:space="preserve"> and this is already built into the budget for the forthcoming financial year</w:t>
      </w:r>
      <w:r w:rsidR="007252EF">
        <w:t>. The Peer R</w:t>
      </w:r>
      <w:r w:rsidRPr="00AF6C1B">
        <w:t xml:space="preserve">eview has </w:t>
      </w:r>
      <w:r w:rsidR="001B66A3">
        <w:t>now</w:t>
      </w:r>
      <w:r w:rsidRPr="00AF6C1B">
        <w:t xml:space="preserve"> added some validity and a process to implement the proposed changes. </w:t>
      </w:r>
    </w:p>
    <w:p w:rsidR="00AF6C1B" w:rsidRDefault="00AF6C1B" w:rsidP="000D71CA">
      <w:pPr>
        <w:jc w:val="both"/>
        <w:rPr>
          <w:color w:val="0000FF"/>
        </w:rPr>
      </w:pPr>
    </w:p>
    <w:p w:rsidR="00A50388" w:rsidRDefault="00A50388" w:rsidP="000D71CA">
      <w:pPr>
        <w:jc w:val="both"/>
        <w:rPr>
          <w:rFonts w:ascii="Arial Bold" w:hAnsi="Arial Bold"/>
          <w:b/>
          <w:sz w:val="28"/>
        </w:rPr>
      </w:pPr>
      <w:r w:rsidRPr="00603399">
        <w:rPr>
          <w:rFonts w:ascii="Arial Bold" w:hAnsi="Arial Bold"/>
          <w:b/>
          <w:sz w:val="28"/>
        </w:rPr>
        <w:t>Ward Coun</w:t>
      </w:r>
      <w:r w:rsidR="00BD5A55" w:rsidRPr="00603399">
        <w:rPr>
          <w:rFonts w:ascii="Arial Bold" w:hAnsi="Arial Bold"/>
          <w:b/>
          <w:sz w:val="28"/>
        </w:rPr>
        <w:t>cillors’ comments</w:t>
      </w:r>
    </w:p>
    <w:p w:rsidR="00603399" w:rsidRPr="00603399" w:rsidRDefault="00603399" w:rsidP="000D71CA">
      <w:pPr>
        <w:jc w:val="both"/>
        <w:rPr>
          <w:rFonts w:ascii="Arial Bold" w:hAnsi="Arial Bold"/>
          <w:b/>
          <w:sz w:val="28"/>
        </w:rPr>
      </w:pPr>
    </w:p>
    <w:p w:rsidR="00BD5A55" w:rsidRPr="00BD5A55" w:rsidRDefault="00BD5A55" w:rsidP="000D71CA">
      <w:pPr>
        <w:pStyle w:val="ListParagraph"/>
        <w:numPr>
          <w:ilvl w:val="0"/>
          <w:numId w:val="17"/>
        </w:numPr>
        <w:ind w:left="709" w:hanging="709"/>
        <w:jc w:val="both"/>
        <w:rPr>
          <w:rFonts w:cs="Arial"/>
          <w:szCs w:val="24"/>
        </w:rPr>
      </w:pPr>
      <w:r w:rsidRPr="00BD5A55">
        <w:rPr>
          <w:rFonts w:cs="Arial"/>
          <w:szCs w:val="24"/>
        </w:rPr>
        <w:t>Not applicable covers all Wards</w:t>
      </w:r>
    </w:p>
    <w:p w:rsidR="00A50388" w:rsidRDefault="00A50388" w:rsidP="000D71CA">
      <w:pPr>
        <w:ind w:hanging="928"/>
        <w:jc w:val="both"/>
        <w:rPr>
          <w:color w:val="0000FF"/>
        </w:rPr>
      </w:pPr>
    </w:p>
    <w:p w:rsidR="002A2389" w:rsidRDefault="002A2389" w:rsidP="000D71CA">
      <w:pPr>
        <w:pStyle w:val="Heading2"/>
        <w:jc w:val="both"/>
      </w:pPr>
      <w:r>
        <w:t>Financial Implications</w:t>
      </w:r>
      <w:r w:rsidR="00BE1C78">
        <w:t xml:space="preserve">/Comments </w:t>
      </w:r>
    </w:p>
    <w:p w:rsidR="00BE1C78" w:rsidRDefault="00BE1C78" w:rsidP="000D71CA">
      <w:pPr>
        <w:ind w:hanging="928"/>
        <w:jc w:val="both"/>
      </w:pPr>
    </w:p>
    <w:p w:rsidR="00FF71E5" w:rsidRDefault="00B76434" w:rsidP="000D71CA">
      <w:pPr>
        <w:pStyle w:val="ListParagraph"/>
        <w:numPr>
          <w:ilvl w:val="0"/>
          <w:numId w:val="17"/>
        </w:numPr>
        <w:ind w:left="709" w:hanging="709"/>
        <w:jc w:val="both"/>
      </w:pPr>
      <w:r>
        <w:t>There are no additional financial impacts of following the action plan.</w:t>
      </w:r>
    </w:p>
    <w:p w:rsidR="001417FD" w:rsidRDefault="001417FD" w:rsidP="000D71CA">
      <w:pPr>
        <w:ind w:hanging="928"/>
        <w:jc w:val="both"/>
      </w:pPr>
    </w:p>
    <w:p w:rsidR="001417FD" w:rsidRPr="00603399" w:rsidRDefault="001417FD" w:rsidP="000D71CA">
      <w:pPr>
        <w:jc w:val="both"/>
        <w:rPr>
          <w:b/>
          <w:sz w:val="28"/>
          <w:szCs w:val="28"/>
        </w:rPr>
      </w:pPr>
      <w:r w:rsidRPr="00603399">
        <w:rPr>
          <w:b/>
          <w:sz w:val="28"/>
          <w:szCs w:val="28"/>
        </w:rPr>
        <w:t xml:space="preserve">Legal Implications/Comments </w:t>
      </w:r>
    </w:p>
    <w:p w:rsidR="004D5D86" w:rsidRPr="001417FD" w:rsidRDefault="004D5D86" w:rsidP="000D71CA">
      <w:pPr>
        <w:ind w:hanging="928"/>
        <w:jc w:val="both"/>
        <w:rPr>
          <w:b/>
          <w:sz w:val="28"/>
          <w:szCs w:val="28"/>
        </w:rPr>
      </w:pPr>
    </w:p>
    <w:p w:rsidR="001417FD" w:rsidRDefault="00B76434" w:rsidP="000D71CA">
      <w:pPr>
        <w:pStyle w:val="ListParagraph"/>
        <w:numPr>
          <w:ilvl w:val="0"/>
          <w:numId w:val="17"/>
        </w:numPr>
        <w:ind w:left="709" w:hanging="709"/>
        <w:jc w:val="both"/>
      </w:pPr>
      <w:r>
        <w:t xml:space="preserve">There are no legal implications. Peer Reviews are not </w:t>
      </w:r>
      <w:r w:rsidR="001B66A3">
        <w:t>statutory functions.</w:t>
      </w:r>
      <w:r>
        <w:t xml:space="preserve"> </w:t>
      </w:r>
    </w:p>
    <w:p w:rsidR="001417FD" w:rsidRDefault="001417FD" w:rsidP="000D71CA">
      <w:pPr>
        <w:ind w:hanging="928"/>
        <w:jc w:val="both"/>
      </w:pPr>
    </w:p>
    <w:p w:rsidR="00C32DAE" w:rsidRDefault="00C32DAE" w:rsidP="000D71CA">
      <w:pPr>
        <w:pStyle w:val="Heading2"/>
        <w:jc w:val="both"/>
      </w:pPr>
      <w:r>
        <w:t>Risk Management Implications</w:t>
      </w:r>
    </w:p>
    <w:p w:rsidR="00C32DAE" w:rsidRDefault="00C32DAE" w:rsidP="000D71CA">
      <w:pPr>
        <w:pStyle w:val="Heading1"/>
        <w:ind w:hanging="928"/>
        <w:jc w:val="both"/>
        <w:rPr>
          <w:b/>
          <w:sz w:val="24"/>
          <w:szCs w:val="24"/>
        </w:rPr>
      </w:pPr>
    </w:p>
    <w:p w:rsidR="00DD4251" w:rsidRPr="00BD5A55" w:rsidRDefault="001B66A3" w:rsidP="000D71CA">
      <w:pPr>
        <w:pStyle w:val="ListParagraph"/>
        <w:numPr>
          <w:ilvl w:val="0"/>
          <w:numId w:val="17"/>
        </w:numPr>
        <w:ind w:left="709" w:right="141" w:hanging="709"/>
        <w:jc w:val="both"/>
        <w:rPr>
          <w:rFonts w:cs="Arial"/>
          <w:szCs w:val="24"/>
          <w:lang w:val="en-US" w:eastAsia="en-GB"/>
        </w:rPr>
      </w:pPr>
      <w:r w:rsidRPr="00BD5A55">
        <w:rPr>
          <w:rFonts w:cs="Arial"/>
          <w:szCs w:val="24"/>
          <w:lang w:val="en-US" w:eastAsia="en-GB"/>
        </w:rPr>
        <w:t>There are no risks to this proposal and action plan at this stage.</w:t>
      </w:r>
      <w:r w:rsidR="00DD4251" w:rsidRPr="00BD5A55">
        <w:rPr>
          <w:rFonts w:cs="Arial"/>
          <w:szCs w:val="24"/>
          <w:lang w:val="en-US" w:eastAsia="en-GB"/>
        </w:rPr>
        <w:t xml:space="preserve">.  </w:t>
      </w:r>
    </w:p>
    <w:p w:rsidR="00A50388" w:rsidRDefault="00A50388" w:rsidP="000D71CA">
      <w:pPr>
        <w:ind w:right="141" w:hanging="928"/>
        <w:jc w:val="both"/>
        <w:rPr>
          <w:rFonts w:cs="Arial"/>
          <w:szCs w:val="24"/>
          <w:lang w:val="en-US" w:eastAsia="en-GB"/>
        </w:rPr>
      </w:pPr>
    </w:p>
    <w:p w:rsidR="00FD31A0" w:rsidRPr="00A50388" w:rsidRDefault="00A50388" w:rsidP="000D71CA">
      <w:pPr>
        <w:pStyle w:val="Heading2"/>
        <w:keepNext/>
        <w:jc w:val="both"/>
        <w:rPr>
          <w:color w:val="FF0000"/>
        </w:rPr>
      </w:pPr>
      <w:r w:rsidRPr="004A2543">
        <w:lastRenderedPageBreak/>
        <w:t>Equalities implications</w:t>
      </w:r>
      <w:r>
        <w:t xml:space="preserve"> </w:t>
      </w:r>
      <w:r w:rsidRPr="00333FAA">
        <w:t>/</w:t>
      </w:r>
      <w:r>
        <w:t xml:space="preserve"> </w:t>
      </w:r>
      <w:r w:rsidRPr="00333FAA">
        <w:t>Public Sector Equality Duty</w:t>
      </w:r>
    </w:p>
    <w:p w:rsidR="00FD31A0" w:rsidRDefault="00FD31A0" w:rsidP="000D71CA">
      <w:pPr>
        <w:keepNext/>
        <w:ind w:hanging="928"/>
        <w:jc w:val="both"/>
      </w:pPr>
    </w:p>
    <w:p w:rsidR="001B66A3" w:rsidRDefault="00FD31A0" w:rsidP="000D71CA">
      <w:pPr>
        <w:pStyle w:val="ListParagraph"/>
        <w:numPr>
          <w:ilvl w:val="0"/>
          <w:numId w:val="17"/>
        </w:numPr>
        <w:ind w:left="709" w:hanging="709"/>
        <w:jc w:val="both"/>
      </w:pPr>
      <w:r w:rsidRPr="004A2543">
        <w:t xml:space="preserve">Was an Equality Impact Assessment carried out?  </w:t>
      </w:r>
      <w:r>
        <w:t xml:space="preserve">No </w:t>
      </w:r>
    </w:p>
    <w:p w:rsidR="007252EF" w:rsidRDefault="007252EF" w:rsidP="000D71CA">
      <w:pPr>
        <w:ind w:left="709" w:hanging="709"/>
        <w:jc w:val="both"/>
      </w:pPr>
    </w:p>
    <w:p w:rsidR="001B66A3" w:rsidRPr="004A2543" w:rsidRDefault="00BD5A55" w:rsidP="000D71CA">
      <w:pPr>
        <w:pStyle w:val="ListParagraph"/>
        <w:numPr>
          <w:ilvl w:val="0"/>
          <w:numId w:val="17"/>
        </w:numPr>
        <w:ind w:left="709" w:hanging="709"/>
        <w:jc w:val="both"/>
      </w:pPr>
      <w:r>
        <w:t>There are no implications fro</w:t>
      </w:r>
      <w:r w:rsidR="001B66A3">
        <w:t>m this summary report and action pla</w:t>
      </w:r>
      <w:r w:rsidR="007252EF">
        <w:t>n</w:t>
      </w:r>
      <w:r w:rsidR="001B66A3">
        <w:t xml:space="preserve"> stage but these will be carried out for any appropriate actions as required.</w:t>
      </w:r>
    </w:p>
    <w:p w:rsidR="00900464" w:rsidRDefault="00900464" w:rsidP="000D71CA">
      <w:pPr>
        <w:ind w:right="141"/>
        <w:jc w:val="both"/>
        <w:rPr>
          <w:rFonts w:cs="Arial"/>
          <w:szCs w:val="24"/>
          <w:lang w:val="en-US"/>
        </w:rPr>
      </w:pPr>
    </w:p>
    <w:p w:rsidR="00BF6C06" w:rsidRPr="00CD57D8" w:rsidRDefault="005874F0" w:rsidP="000D71CA">
      <w:pPr>
        <w:pStyle w:val="Heading2"/>
        <w:jc w:val="both"/>
      </w:pPr>
      <w:r>
        <w:t>Council</w:t>
      </w:r>
      <w:r w:rsidR="00D34145">
        <w:t xml:space="preserve"> </w:t>
      </w:r>
      <w:r w:rsidR="00BF6C06" w:rsidRPr="00CD57D8">
        <w:t>Priorities</w:t>
      </w:r>
    </w:p>
    <w:p w:rsidR="00BF6C06" w:rsidRDefault="00BF6C06" w:rsidP="000D71CA">
      <w:pPr>
        <w:keepNext/>
        <w:ind w:right="144"/>
        <w:jc w:val="both"/>
        <w:rPr>
          <w:rFonts w:cs="Arial"/>
          <w:szCs w:val="24"/>
          <w:lang w:val="en-US"/>
        </w:rPr>
      </w:pPr>
    </w:p>
    <w:p w:rsidR="00BD5A55" w:rsidRPr="00BD5A55" w:rsidRDefault="007252EF" w:rsidP="000D71CA">
      <w:pPr>
        <w:pStyle w:val="ListParagraph"/>
        <w:keepNext/>
        <w:numPr>
          <w:ilvl w:val="0"/>
          <w:numId w:val="17"/>
        </w:numPr>
        <w:ind w:left="709" w:right="144" w:hanging="709"/>
        <w:jc w:val="both"/>
        <w:rPr>
          <w:rFonts w:cs="Arial"/>
          <w:szCs w:val="24"/>
          <w:lang w:val="en-US"/>
        </w:rPr>
      </w:pPr>
      <w:r w:rsidRPr="00BD5A55">
        <w:rPr>
          <w:rFonts w:cs="Arial"/>
          <w:szCs w:val="24"/>
          <w:lang w:val="en-US"/>
        </w:rPr>
        <w:t xml:space="preserve">The outcomes of the Peer Review </w:t>
      </w:r>
      <w:r w:rsidR="00BD5A55" w:rsidRPr="00BD5A55">
        <w:rPr>
          <w:rFonts w:cs="Arial"/>
          <w:szCs w:val="24"/>
          <w:lang w:val="en-US"/>
        </w:rPr>
        <w:t>and Adult Services Commissioning function wil</w:t>
      </w:r>
      <w:r w:rsidRPr="00BD5A55">
        <w:rPr>
          <w:rFonts w:cs="Arial"/>
          <w:szCs w:val="24"/>
          <w:lang w:val="en-US"/>
        </w:rPr>
        <w:t xml:space="preserve">l contribute to the </w:t>
      </w:r>
      <w:r w:rsidR="00BD5A55" w:rsidRPr="00BD5A55">
        <w:rPr>
          <w:rFonts w:cs="Arial"/>
          <w:szCs w:val="24"/>
          <w:lang w:val="en-US"/>
        </w:rPr>
        <w:t>Council priorities:</w:t>
      </w:r>
    </w:p>
    <w:p w:rsidR="00BD5A55" w:rsidRDefault="00BD5A55" w:rsidP="000D71CA">
      <w:pPr>
        <w:keepNext/>
        <w:ind w:right="144"/>
        <w:jc w:val="both"/>
        <w:rPr>
          <w:rFonts w:cs="Arial"/>
          <w:szCs w:val="24"/>
          <w:lang w:val="en-US"/>
        </w:rPr>
      </w:pPr>
    </w:p>
    <w:p w:rsidR="00A50388" w:rsidRDefault="00A50388" w:rsidP="000D71CA">
      <w:pPr>
        <w:keepNext/>
        <w:ind w:right="144"/>
        <w:jc w:val="both"/>
        <w:rPr>
          <w:b/>
          <w:bCs/>
        </w:rPr>
      </w:pPr>
      <w:r>
        <w:rPr>
          <w:b/>
          <w:bCs/>
        </w:rPr>
        <w:t>Supporting Those Most in Need</w:t>
      </w:r>
      <w:r w:rsidR="00BD5A55">
        <w:rPr>
          <w:b/>
          <w:bCs/>
        </w:rPr>
        <w:t>:</w:t>
      </w:r>
    </w:p>
    <w:p w:rsidR="00A50388" w:rsidRDefault="00A50388" w:rsidP="000D71CA">
      <w:pPr>
        <w:pStyle w:val="ListParagraph"/>
        <w:numPr>
          <w:ilvl w:val="0"/>
          <w:numId w:val="10"/>
        </w:numPr>
        <w:autoSpaceDE w:val="0"/>
        <w:autoSpaceDN w:val="0"/>
        <w:contextualSpacing/>
        <w:jc w:val="both"/>
      </w:pPr>
      <w:r>
        <w:t>Reduce levels of homelessness in the borough</w:t>
      </w:r>
    </w:p>
    <w:p w:rsidR="00A50388" w:rsidRDefault="00A50388" w:rsidP="000D71CA">
      <w:pPr>
        <w:pStyle w:val="ListParagraph"/>
        <w:numPr>
          <w:ilvl w:val="0"/>
          <w:numId w:val="10"/>
        </w:numPr>
        <w:autoSpaceDE w:val="0"/>
        <w:autoSpaceDN w:val="0"/>
        <w:contextualSpacing/>
        <w:jc w:val="both"/>
      </w:pPr>
      <w:r>
        <w:t>Empower residents to maintain their well-being and independence</w:t>
      </w:r>
    </w:p>
    <w:p w:rsidR="00A50388" w:rsidRDefault="00A50388" w:rsidP="000D71CA">
      <w:pPr>
        <w:pStyle w:val="ListParagraph"/>
        <w:numPr>
          <w:ilvl w:val="0"/>
          <w:numId w:val="10"/>
        </w:numPr>
        <w:autoSpaceDE w:val="0"/>
        <w:autoSpaceDN w:val="0"/>
        <w:contextualSpacing/>
        <w:jc w:val="both"/>
      </w:pPr>
      <w:r>
        <w:t>Children and young people are given the opportunities to have the best start in life and families can thrive</w:t>
      </w:r>
    </w:p>
    <w:p w:rsidR="00A50388" w:rsidRDefault="00A50388" w:rsidP="000D71CA">
      <w:pPr>
        <w:pStyle w:val="ListParagraph"/>
        <w:numPr>
          <w:ilvl w:val="0"/>
          <w:numId w:val="10"/>
        </w:numPr>
        <w:autoSpaceDE w:val="0"/>
        <w:autoSpaceDN w:val="0"/>
        <w:contextualSpacing/>
        <w:jc w:val="both"/>
      </w:pPr>
      <w:r>
        <w:t>Reduce the gap in life expectancy in the borough</w:t>
      </w:r>
    </w:p>
    <w:p w:rsidR="00A50388" w:rsidRDefault="00A50388" w:rsidP="000D71CA">
      <w:pPr>
        <w:autoSpaceDE w:val="0"/>
        <w:autoSpaceDN w:val="0"/>
        <w:jc w:val="both"/>
        <w:rPr>
          <w:b/>
          <w:bCs/>
        </w:rPr>
      </w:pPr>
    </w:p>
    <w:p w:rsidR="00A50388" w:rsidRPr="00BD5A55" w:rsidRDefault="00A50388" w:rsidP="000D71CA">
      <w:pPr>
        <w:autoSpaceDE w:val="0"/>
        <w:autoSpaceDN w:val="0"/>
        <w:contextualSpacing/>
        <w:jc w:val="both"/>
        <w:rPr>
          <w:b/>
          <w:bCs/>
        </w:rPr>
      </w:pPr>
      <w:r w:rsidRPr="00BD5A55">
        <w:rPr>
          <w:b/>
          <w:bCs/>
        </w:rPr>
        <w:t>Protecting Vital Public Services</w:t>
      </w:r>
    </w:p>
    <w:p w:rsidR="00A50388" w:rsidRDefault="00A50388" w:rsidP="000D71CA">
      <w:pPr>
        <w:pStyle w:val="ListParagraph"/>
        <w:numPr>
          <w:ilvl w:val="0"/>
          <w:numId w:val="11"/>
        </w:numPr>
        <w:autoSpaceDE w:val="0"/>
        <w:autoSpaceDN w:val="0"/>
        <w:contextualSpacing/>
        <w:jc w:val="both"/>
      </w:pPr>
      <w:r>
        <w:t>Healthcare services meet the needs of Harrow residents</w:t>
      </w:r>
    </w:p>
    <w:p w:rsidR="00A50388" w:rsidRDefault="00A50388" w:rsidP="000D71CA">
      <w:pPr>
        <w:pStyle w:val="ListParagraph"/>
        <w:numPr>
          <w:ilvl w:val="0"/>
          <w:numId w:val="11"/>
        </w:numPr>
        <w:autoSpaceDE w:val="0"/>
        <w:autoSpaceDN w:val="0"/>
        <w:contextualSpacing/>
        <w:jc w:val="both"/>
      </w:pPr>
      <w:r>
        <w:t>A strong and resourceful community sector, able to come together to deal with local issues</w:t>
      </w:r>
    </w:p>
    <w:p w:rsidR="00BD5A55" w:rsidRDefault="00BD5A55" w:rsidP="000D71CA">
      <w:pPr>
        <w:autoSpaceDE w:val="0"/>
        <w:autoSpaceDN w:val="0"/>
        <w:contextualSpacing/>
        <w:jc w:val="both"/>
        <w:rPr>
          <w:b/>
        </w:rPr>
      </w:pPr>
    </w:p>
    <w:p w:rsidR="00A50388" w:rsidRPr="00BD5A55" w:rsidRDefault="00A50388" w:rsidP="000D71CA">
      <w:pPr>
        <w:autoSpaceDE w:val="0"/>
        <w:autoSpaceDN w:val="0"/>
        <w:contextualSpacing/>
        <w:jc w:val="both"/>
        <w:rPr>
          <w:b/>
          <w:bCs/>
        </w:rPr>
      </w:pPr>
      <w:r w:rsidRPr="00BD5A55">
        <w:rPr>
          <w:b/>
        </w:rPr>
        <w:t>Modernising</w:t>
      </w:r>
      <w:r w:rsidRPr="00BD5A55">
        <w:rPr>
          <w:b/>
          <w:bCs/>
        </w:rPr>
        <w:t xml:space="preserve"> Harrow Council</w:t>
      </w:r>
    </w:p>
    <w:p w:rsidR="00A50388" w:rsidRDefault="00A50388" w:rsidP="000D71CA">
      <w:pPr>
        <w:pStyle w:val="ListParagraph"/>
        <w:numPr>
          <w:ilvl w:val="0"/>
          <w:numId w:val="13"/>
        </w:numPr>
        <w:autoSpaceDE w:val="0"/>
        <w:autoSpaceDN w:val="0"/>
        <w:contextualSpacing/>
        <w:jc w:val="both"/>
      </w:pPr>
      <w:r>
        <w:t>Deliver excellent value for money services</w:t>
      </w:r>
    </w:p>
    <w:p w:rsidR="00C32DAE" w:rsidRPr="00612A64" w:rsidRDefault="00C32DAE" w:rsidP="000D71CA">
      <w:pPr>
        <w:jc w:val="both"/>
        <w:rPr>
          <w:rFonts w:ascii="Times New Roman" w:hAnsi="Times New Roman"/>
          <w:szCs w:val="24"/>
          <w:lang w:val="en-US"/>
        </w:rPr>
      </w:pPr>
    </w:p>
    <w:p w:rsidR="002A2389" w:rsidRDefault="002A2389" w:rsidP="000D71CA">
      <w:pPr>
        <w:pStyle w:val="Heading1"/>
        <w:keepNext/>
        <w:jc w:val="both"/>
      </w:pPr>
      <w:r>
        <w:t>Section 3 - Statutory Officer Clearance</w:t>
      </w:r>
      <w:r w:rsidR="00BE1C78">
        <w:t xml:space="preserve"> </w:t>
      </w:r>
      <w:r w:rsidR="001417FD">
        <w:t>(Council and Joint Reports)</w:t>
      </w:r>
    </w:p>
    <w:p w:rsidR="002A2389" w:rsidRDefault="002A2389" w:rsidP="000D71CA">
      <w:pPr>
        <w:keepNext/>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2A2389">
        <w:tc>
          <w:tcPr>
            <w:tcW w:w="2791" w:type="pct"/>
            <w:tcBorders>
              <w:bottom w:val="nil"/>
              <w:right w:val="nil"/>
            </w:tcBorders>
          </w:tcPr>
          <w:p w:rsidR="002A2389" w:rsidRDefault="002A2389" w:rsidP="000D71CA">
            <w:pPr>
              <w:pStyle w:val="Infotext"/>
              <w:jc w:val="both"/>
            </w:pPr>
          </w:p>
          <w:p w:rsidR="002A2389" w:rsidRDefault="002A2389" w:rsidP="000D71CA">
            <w:pPr>
              <w:pStyle w:val="Infotext"/>
              <w:jc w:val="both"/>
            </w:pPr>
          </w:p>
        </w:tc>
        <w:tc>
          <w:tcPr>
            <w:tcW w:w="138" w:type="pct"/>
            <w:tcBorders>
              <w:left w:val="nil"/>
              <w:right w:val="nil"/>
            </w:tcBorders>
          </w:tcPr>
          <w:p w:rsidR="002A2389" w:rsidRDefault="002A2389" w:rsidP="000D71CA">
            <w:pPr>
              <w:pStyle w:val="Infotext"/>
              <w:jc w:val="both"/>
            </w:pPr>
          </w:p>
        </w:tc>
        <w:tc>
          <w:tcPr>
            <w:tcW w:w="138" w:type="pct"/>
            <w:tcBorders>
              <w:left w:val="nil"/>
              <w:bottom w:val="nil"/>
              <w:right w:val="nil"/>
            </w:tcBorders>
          </w:tcPr>
          <w:p w:rsidR="002A2389" w:rsidRDefault="002A2389" w:rsidP="000D71CA">
            <w:pPr>
              <w:pStyle w:val="Infotext"/>
              <w:jc w:val="both"/>
            </w:pPr>
          </w:p>
        </w:tc>
        <w:tc>
          <w:tcPr>
            <w:tcW w:w="1932" w:type="pct"/>
            <w:tcBorders>
              <w:left w:val="nil"/>
              <w:bottom w:val="nil"/>
            </w:tcBorders>
          </w:tcPr>
          <w:p w:rsidR="002A2389" w:rsidRDefault="002A2389" w:rsidP="000D71CA">
            <w:pPr>
              <w:pStyle w:val="Infotext"/>
              <w:jc w:val="both"/>
            </w:pPr>
          </w:p>
          <w:p w:rsidR="002A2389" w:rsidRDefault="002A2389" w:rsidP="004676F4">
            <w:pPr>
              <w:pStyle w:val="Infotext"/>
              <w:jc w:val="both"/>
            </w:pPr>
            <w:r>
              <w:t>on behalf of the</w:t>
            </w:r>
          </w:p>
        </w:tc>
      </w:tr>
      <w:tr w:rsidR="002A2389">
        <w:tc>
          <w:tcPr>
            <w:tcW w:w="2791" w:type="pct"/>
            <w:tcBorders>
              <w:top w:val="nil"/>
              <w:bottom w:val="nil"/>
            </w:tcBorders>
          </w:tcPr>
          <w:p w:rsidR="002A2389" w:rsidRDefault="002A2389" w:rsidP="000D71CA">
            <w:pPr>
              <w:pStyle w:val="Infotext"/>
              <w:jc w:val="both"/>
            </w:pPr>
            <w:r>
              <w:t>Name:</w:t>
            </w:r>
            <w:r w:rsidR="00C171C8">
              <w:t xml:space="preserve">  </w:t>
            </w:r>
            <w:r w:rsidR="00BD5A55">
              <w:t>Donna Edwards</w:t>
            </w:r>
          </w:p>
        </w:tc>
        <w:tc>
          <w:tcPr>
            <w:tcW w:w="138" w:type="pct"/>
            <w:tcBorders>
              <w:bottom w:val="single" w:sz="4" w:space="0" w:color="auto"/>
            </w:tcBorders>
          </w:tcPr>
          <w:p w:rsidR="002A2389" w:rsidRDefault="004676F4" w:rsidP="000D71CA">
            <w:pPr>
              <w:pStyle w:val="Infotext"/>
              <w:jc w:val="both"/>
            </w:pPr>
            <w:r>
              <w:t>x</w:t>
            </w:r>
          </w:p>
        </w:tc>
        <w:tc>
          <w:tcPr>
            <w:tcW w:w="138" w:type="pct"/>
            <w:tcBorders>
              <w:top w:val="nil"/>
              <w:bottom w:val="nil"/>
              <w:right w:val="nil"/>
            </w:tcBorders>
          </w:tcPr>
          <w:p w:rsidR="002A2389" w:rsidRDefault="002A2389" w:rsidP="000D71CA">
            <w:pPr>
              <w:pStyle w:val="Infotext"/>
              <w:jc w:val="both"/>
            </w:pPr>
          </w:p>
        </w:tc>
        <w:tc>
          <w:tcPr>
            <w:tcW w:w="1932" w:type="pct"/>
            <w:tcBorders>
              <w:top w:val="nil"/>
              <w:left w:val="nil"/>
              <w:bottom w:val="nil"/>
            </w:tcBorders>
          </w:tcPr>
          <w:p w:rsidR="002A2389" w:rsidRDefault="002A2389" w:rsidP="000D71CA">
            <w:pPr>
              <w:pStyle w:val="Infotext"/>
              <w:jc w:val="both"/>
            </w:pPr>
            <w:r>
              <w:t>Chief Financial Officer</w:t>
            </w:r>
          </w:p>
        </w:tc>
      </w:tr>
      <w:tr w:rsidR="002A2389">
        <w:tc>
          <w:tcPr>
            <w:tcW w:w="2791" w:type="pct"/>
            <w:tcBorders>
              <w:top w:val="nil"/>
              <w:right w:val="nil"/>
            </w:tcBorders>
          </w:tcPr>
          <w:p w:rsidR="002A2389" w:rsidRDefault="002A2389" w:rsidP="000D71CA">
            <w:pPr>
              <w:pStyle w:val="Infotext"/>
              <w:jc w:val="both"/>
            </w:pPr>
            <w:r>
              <w:t xml:space="preserve"> </w:t>
            </w:r>
          </w:p>
          <w:p w:rsidR="002A2389" w:rsidRDefault="002A2389" w:rsidP="000D71CA">
            <w:pPr>
              <w:pStyle w:val="Infotext"/>
              <w:jc w:val="both"/>
            </w:pPr>
            <w:r>
              <w:t xml:space="preserve">Date: </w:t>
            </w:r>
            <w:r w:rsidR="00C171C8">
              <w:t xml:space="preserve"> </w:t>
            </w:r>
            <w:r w:rsidR="004676F4">
              <w:t>3 March 2020</w:t>
            </w:r>
          </w:p>
        </w:tc>
        <w:tc>
          <w:tcPr>
            <w:tcW w:w="138" w:type="pct"/>
            <w:tcBorders>
              <w:left w:val="nil"/>
              <w:bottom w:val="single" w:sz="4" w:space="0" w:color="auto"/>
              <w:right w:val="nil"/>
            </w:tcBorders>
          </w:tcPr>
          <w:p w:rsidR="002A2389" w:rsidRDefault="002A2389" w:rsidP="000D71CA">
            <w:pPr>
              <w:pStyle w:val="Infotext"/>
              <w:jc w:val="both"/>
            </w:pPr>
          </w:p>
        </w:tc>
        <w:tc>
          <w:tcPr>
            <w:tcW w:w="138" w:type="pct"/>
            <w:tcBorders>
              <w:top w:val="nil"/>
              <w:left w:val="nil"/>
              <w:right w:val="nil"/>
            </w:tcBorders>
          </w:tcPr>
          <w:p w:rsidR="002A2389" w:rsidRDefault="002A2389" w:rsidP="000D71CA">
            <w:pPr>
              <w:pStyle w:val="Infotext"/>
              <w:jc w:val="both"/>
            </w:pPr>
          </w:p>
        </w:tc>
        <w:tc>
          <w:tcPr>
            <w:tcW w:w="1932" w:type="pct"/>
            <w:tcBorders>
              <w:top w:val="nil"/>
              <w:left w:val="nil"/>
            </w:tcBorders>
          </w:tcPr>
          <w:p w:rsidR="002A2389" w:rsidRDefault="002A2389" w:rsidP="000D71CA">
            <w:pPr>
              <w:pStyle w:val="Infotext"/>
              <w:jc w:val="both"/>
            </w:pPr>
          </w:p>
        </w:tc>
      </w:tr>
      <w:tr w:rsidR="002A2389">
        <w:tc>
          <w:tcPr>
            <w:tcW w:w="2791" w:type="pct"/>
            <w:tcBorders>
              <w:bottom w:val="nil"/>
              <w:right w:val="nil"/>
            </w:tcBorders>
          </w:tcPr>
          <w:p w:rsidR="002A2389" w:rsidRDefault="002A2389" w:rsidP="000D71CA">
            <w:pPr>
              <w:pStyle w:val="Infotext"/>
              <w:jc w:val="both"/>
            </w:pPr>
          </w:p>
          <w:p w:rsidR="002A2389" w:rsidRDefault="002A2389" w:rsidP="000D71CA">
            <w:pPr>
              <w:pStyle w:val="Infotext"/>
              <w:jc w:val="both"/>
            </w:pPr>
          </w:p>
        </w:tc>
        <w:tc>
          <w:tcPr>
            <w:tcW w:w="138" w:type="pct"/>
            <w:tcBorders>
              <w:left w:val="nil"/>
              <w:right w:val="nil"/>
            </w:tcBorders>
          </w:tcPr>
          <w:p w:rsidR="002A2389" w:rsidRDefault="002A2389" w:rsidP="000D71CA">
            <w:pPr>
              <w:pStyle w:val="Infotext"/>
              <w:jc w:val="both"/>
            </w:pPr>
          </w:p>
        </w:tc>
        <w:tc>
          <w:tcPr>
            <w:tcW w:w="138" w:type="pct"/>
            <w:tcBorders>
              <w:left w:val="nil"/>
              <w:bottom w:val="nil"/>
              <w:right w:val="nil"/>
            </w:tcBorders>
          </w:tcPr>
          <w:p w:rsidR="002A2389" w:rsidRDefault="002A2389" w:rsidP="000D71CA">
            <w:pPr>
              <w:pStyle w:val="Infotext"/>
              <w:jc w:val="both"/>
            </w:pPr>
          </w:p>
        </w:tc>
        <w:tc>
          <w:tcPr>
            <w:tcW w:w="1932" w:type="pct"/>
            <w:tcBorders>
              <w:left w:val="nil"/>
              <w:bottom w:val="nil"/>
            </w:tcBorders>
          </w:tcPr>
          <w:p w:rsidR="002A2389" w:rsidRDefault="002A2389" w:rsidP="000D71CA">
            <w:pPr>
              <w:pStyle w:val="Infotext"/>
              <w:jc w:val="both"/>
            </w:pPr>
          </w:p>
          <w:p w:rsidR="002A2389" w:rsidRDefault="002A2389" w:rsidP="004676F4">
            <w:pPr>
              <w:pStyle w:val="Infotext"/>
              <w:jc w:val="both"/>
            </w:pPr>
            <w:r>
              <w:t>on behalf of the</w:t>
            </w:r>
          </w:p>
        </w:tc>
      </w:tr>
      <w:tr w:rsidR="002A2389">
        <w:tc>
          <w:tcPr>
            <w:tcW w:w="2791" w:type="pct"/>
            <w:tcBorders>
              <w:top w:val="nil"/>
              <w:bottom w:val="nil"/>
            </w:tcBorders>
          </w:tcPr>
          <w:p w:rsidR="002A2389" w:rsidRDefault="002A2389" w:rsidP="000D71CA">
            <w:pPr>
              <w:pStyle w:val="Infotext"/>
              <w:jc w:val="both"/>
            </w:pPr>
            <w:r>
              <w:t xml:space="preserve">Name: </w:t>
            </w:r>
            <w:r w:rsidR="00C171C8">
              <w:t xml:space="preserve"> </w:t>
            </w:r>
            <w:r w:rsidR="00BD5A55">
              <w:t>Sharon Clarke</w:t>
            </w:r>
          </w:p>
        </w:tc>
        <w:tc>
          <w:tcPr>
            <w:tcW w:w="138" w:type="pct"/>
            <w:tcBorders>
              <w:bottom w:val="single" w:sz="4" w:space="0" w:color="auto"/>
            </w:tcBorders>
          </w:tcPr>
          <w:p w:rsidR="002A2389" w:rsidRDefault="004676F4" w:rsidP="000D71CA">
            <w:pPr>
              <w:pStyle w:val="Infotext"/>
              <w:jc w:val="both"/>
            </w:pPr>
            <w:r>
              <w:t>x</w:t>
            </w:r>
          </w:p>
        </w:tc>
        <w:tc>
          <w:tcPr>
            <w:tcW w:w="138" w:type="pct"/>
            <w:tcBorders>
              <w:top w:val="nil"/>
              <w:bottom w:val="nil"/>
              <w:right w:val="nil"/>
            </w:tcBorders>
          </w:tcPr>
          <w:p w:rsidR="002A2389" w:rsidRDefault="002A2389" w:rsidP="000D71CA">
            <w:pPr>
              <w:pStyle w:val="Infotext"/>
              <w:jc w:val="both"/>
            </w:pPr>
          </w:p>
        </w:tc>
        <w:tc>
          <w:tcPr>
            <w:tcW w:w="1932" w:type="pct"/>
            <w:tcBorders>
              <w:top w:val="nil"/>
              <w:left w:val="nil"/>
              <w:bottom w:val="nil"/>
            </w:tcBorders>
          </w:tcPr>
          <w:p w:rsidR="002A2389" w:rsidRDefault="002A2389" w:rsidP="000D71CA">
            <w:pPr>
              <w:pStyle w:val="Infotext"/>
              <w:jc w:val="both"/>
            </w:pPr>
            <w:r>
              <w:t>Monitoring Officer</w:t>
            </w:r>
          </w:p>
        </w:tc>
      </w:tr>
      <w:tr w:rsidR="002A2389">
        <w:tc>
          <w:tcPr>
            <w:tcW w:w="2791" w:type="pct"/>
            <w:tcBorders>
              <w:top w:val="nil"/>
              <w:right w:val="nil"/>
            </w:tcBorders>
          </w:tcPr>
          <w:p w:rsidR="002A2389" w:rsidRDefault="002A2389" w:rsidP="000D71CA">
            <w:pPr>
              <w:pStyle w:val="Infotext"/>
              <w:jc w:val="both"/>
            </w:pPr>
          </w:p>
          <w:p w:rsidR="002A2389" w:rsidRDefault="002A2389" w:rsidP="000D71CA">
            <w:pPr>
              <w:pStyle w:val="Infotext"/>
              <w:jc w:val="both"/>
            </w:pPr>
            <w:r>
              <w:t xml:space="preserve">Date: </w:t>
            </w:r>
            <w:r w:rsidR="00C171C8">
              <w:t xml:space="preserve"> </w:t>
            </w:r>
            <w:r w:rsidR="004676F4">
              <w:t>3 March 2020</w:t>
            </w:r>
          </w:p>
        </w:tc>
        <w:tc>
          <w:tcPr>
            <w:tcW w:w="138" w:type="pct"/>
            <w:tcBorders>
              <w:left w:val="nil"/>
              <w:right w:val="nil"/>
            </w:tcBorders>
          </w:tcPr>
          <w:p w:rsidR="002A2389" w:rsidRDefault="002A2389" w:rsidP="000D71CA">
            <w:pPr>
              <w:pStyle w:val="Infotext"/>
              <w:jc w:val="both"/>
            </w:pPr>
          </w:p>
        </w:tc>
        <w:tc>
          <w:tcPr>
            <w:tcW w:w="138" w:type="pct"/>
            <w:tcBorders>
              <w:top w:val="nil"/>
              <w:left w:val="nil"/>
              <w:right w:val="nil"/>
            </w:tcBorders>
          </w:tcPr>
          <w:p w:rsidR="002A2389" w:rsidRDefault="002A2389" w:rsidP="000D71CA">
            <w:pPr>
              <w:pStyle w:val="Infotext"/>
              <w:jc w:val="both"/>
            </w:pPr>
          </w:p>
        </w:tc>
        <w:tc>
          <w:tcPr>
            <w:tcW w:w="1932" w:type="pct"/>
            <w:tcBorders>
              <w:top w:val="nil"/>
              <w:left w:val="nil"/>
            </w:tcBorders>
          </w:tcPr>
          <w:p w:rsidR="002A2389" w:rsidRDefault="002A2389" w:rsidP="000D71CA">
            <w:pPr>
              <w:pStyle w:val="Infotext"/>
              <w:jc w:val="both"/>
            </w:pPr>
          </w:p>
          <w:p w:rsidR="002A2389" w:rsidRDefault="002A2389" w:rsidP="000D71CA">
            <w:pPr>
              <w:pStyle w:val="Infotext"/>
              <w:jc w:val="both"/>
            </w:pPr>
          </w:p>
        </w:tc>
      </w:tr>
    </w:tbl>
    <w:p w:rsidR="002A2389" w:rsidRDefault="002A2389" w:rsidP="000D71CA">
      <w:pPr>
        <w:jc w:val="both"/>
        <w:rPr>
          <w:szCs w:val="24"/>
        </w:rPr>
      </w:pPr>
    </w:p>
    <w:p w:rsidR="001D4348" w:rsidRDefault="001D4348" w:rsidP="000D71CA">
      <w:pPr>
        <w:jc w:val="both"/>
        <w:rPr>
          <w:szCs w:val="24"/>
        </w:rPr>
      </w:pPr>
    </w:p>
    <w:p w:rsidR="001D4348" w:rsidRDefault="001D4348" w:rsidP="000D71CA">
      <w:pPr>
        <w:jc w:val="both"/>
        <w:rPr>
          <w:szCs w:val="24"/>
        </w:rPr>
      </w:pPr>
    </w:p>
    <w:p w:rsidR="001D4348" w:rsidRDefault="001D4348" w:rsidP="000D71CA">
      <w:pPr>
        <w:jc w:val="both"/>
        <w:rPr>
          <w:szCs w:val="24"/>
        </w:rPr>
      </w:pPr>
    </w:p>
    <w:p w:rsidR="00A51FAE" w:rsidRDefault="00A51FAE" w:rsidP="000D71CA">
      <w:pPr>
        <w:jc w:val="both"/>
        <w:rPr>
          <w:szCs w:val="24"/>
        </w:rPr>
      </w:pPr>
    </w:p>
    <w:p w:rsidR="007E4711" w:rsidRDefault="007E4711" w:rsidP="000D71CA">
      <w:pPr>
        <w:jc w:val="both"/>
        <w:rPr>
          <w:szCs w:val="24"/>
        </w:rPr>
      </w:pPr>
    </w:p>
    <w:p w:rsidR="007E4711" w:rsidRDefault="007E4711" w:rsidP="000D71CA">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9"/>
        <w:gridCol w:w="383"/>
        <w:gridCol w:w="234"/>
        <w:gridCol w:w="3599"/>
      </w:tblGrid>
      <w:tr w:rsidR="00080819" w:rsidTr="00FF30F2">
        <w:tc>
          <w:tcPr>
            <w:tcW w:w="4752" w:type="dxa"/>
            <w:tcBorders>
              <w:bottom w:val="nil"/>
              <w:right w:val="nil"/>
            </w:tcBorders>
          </w:tcPr>
          <w:p w:rsidR="00080819" w:rsidRDefault="00080819" w:rsidP="000D71CA">
            <w:pPr>
              <w:pStyle w:val="Infotext"/>
              <w:jc w:val="both"/>
            </w:pPr>
          </w:p>
          <w:p w:rsidR="00080819" w:rsidRDefault="00080819" w:rsidP="000D71CA">
            <w:pPr>
              <w:pStyle w:val="Infotext"/>
              <w:jc w:val="both"/>
            </w:pPr>
          </w:p>
        </w:tc>
        <w:tc>
          <w:tcPr>
            <w:tcW w:w="387" w:type="dxa"/>
            <w:tcBorders>
              <w:left w:val="nil"/>
              <w:right w:val="nil"/>
            </w:tcBorders>
          </w:tcPr>
          <w:p w:rsidR="00080819" w:rsidRDefault="00080819" w:rsidP="000D71CA">
            <w:pPr>
              <w:pStyle w:val="Infotext"/>
              <w:jc w:val="both"/>
            </w:pPr>
          </w:p>
        </w:tc>
        <w:tc>
          <w:tcPr>
            <w:tcW w:w="236" w:type="dxa"/>
            <w:tcBorders>
              <w:left w:val="nil"/>
              <w:bottom w:val="nil"/>
              <w:right w:val="nil"/>
            </w:tcBorders>
          </w:tcPr>
          <w:p w:rsidR="00080819" w:rsidRDefault="00080819" w:rsidP="000D71CA">
            <w:pPr>
              <w:pStyle w:val="Infotext"/>
              <w:jc w:val="both"/>
            </w:pPr>
          </w:p>
        </w:tc>
        <w:tc>
          <w:tcPr>
            <w:tcW w:w="3890" w:type="dxa"/>
            <w:tcBorders>
              <w:left w:val="nil"/>
              <w:bottom w:val="nil"/>
            </w:tcBorders>
          </w:tcPr>
          <w:p w:rsidR="00080819" w:rsidRDefault="00080819" w:rsidP="000D71CA">
            <w:pPr>
              <w:pStyle w:val="Infotext"/>
              <w:jc w:val="both"/>
            </w:pPr>
          </w:p>
          <w:p w:rsidR="00080819" w:rsidRDefault="00080819" w:rsidP="000D71CA">
            <w:pPr>
              <w:pStyle w:val="Infotext"/>
              <w:jc w:val="both"/>
            </w:pPr>
          </w:p>
        </w:tc>
      </w:tr>
      <w:tr w:rsidR="00080819" w:rsidTr="00FF30F2">
        <w:tc>
          <w:tcPr>
            <w:tcW w:w="4752" w:type="dxa"/>
            <w:tcBorders>
              <w:top w:val="nil"/>
              <w:bottom w:val="nil"/>
            </w:tcBorders>
          </w:tcPr>
          <w:p w:rsidR="00080819" w:rsidRDefault="00080819" w:rsidP="00C171C8">
            <w:pPr>
              <w:pStyle w:val="Infotext"/>
            </w:pPr>
            <w:r>
              <w:t xml:space="preserve">Name: </w:t>
            </w:r>
            <w:r w:rsidR="00C171C8">
              <w:t xml:space="preserve"> </w:t>
            </w:r>
            <w:r w:rsidR="00BD5A55">
              <w:t>Paul Hewitt</w:t>
            </w:r>
          </w:p>
        </w:tc>
        <w:tc>
          <w:tcPr>
            <w:tcW w:w="387" w:type="dxa"/>
            <w:tcBorders>
              <w:bottom w:val="single" w:sz="4" w:space="0" w:color="auto"/>
            </w:tcBorders>
          </w:tcPr>
          <w:p w:rsidR="00080819" w:rsidRDefault="004676F4" w:rsidP="00FF30F2">
            <w:pPr>
              <w:pStyle w:val="Infotext"/>
            </w:pPr>
            <w:r>
              <w:t>x</w:t>
            </w:r>
          </w:p>
        </w:tc>
        <w:tc>
          <w:tcPr>
            <w:tcW w:w="236" w:type="dxa"/>
            <w:tcBorders>
              <w:top w:val="nil"/>
              <w:bottom w:val="nil"/>
              <w:right w:val="nil"/>
            </w:tcBorders>
          </w:tcPr>
          <w:p w:rsidR="00080819" w:rsidRDefault="00080819" w:rsidP="00FF30F2">
            <w:pPr>
              <w:pStyle w:val="Infotext"/>
            </w:pPr>
          </w:p>
        </w:tc>
        <w:tc>
          <w:tcPr>
            <w:tcW w:w="3890" w:type="dxa"/>
            <w:tcBorders>
              <w:top w:val="nil"/>
              <w:left w:val="nil"/>
              <w:bottom w:val="nil"/>
            </w:tcBorders>
          </w:tcPr>
          <w:p w:rsidR="00080819" w:rsidRDefault="00080819" w:rsidP="00FF30F2">
            <w:pPr>
              <w:pStyle w:val="Infotext"/>
            </w:pPr>
            <w:r>
              <w:t>Corporate Director</w:t>
            </w:r>
          </w:p>
        </w:tc>
      </w:tr>
      <w:tr w:rsidR="00080819" w:rsidTr="00FF30F2">
        <w:tc>
          <w:tcPr>
            <w:tcW w:w="4752" w:type="dxa"/>
            <w:tcBorders>
              <w:top w:val="nil"/>
              <w:right w:val="nil"/>
            </w:tcBorders>
          </w:tcPr>
          <w:p w:rsidR="00080819" w:rsidRDefault="00080819" w:rsidP="00FF30F2">
            <w:pPr>
              <w:pStyle w:val="Infotext"/>
            </w:pPr>
            <w:r>
              <w:t xml:space="preserve"> </w:t>
            </w:r>
          </w:p>
          <w:p w:rsidR="00080819" w:rsidRDefault="00080819" w:rsidP="00C171C8">
            <w:pPr>
              <w:pStyle w:val="Infotext"/>
            </w:pPr>
            <w:r>
              <w:t xml:space="preserve">Date: </w:t>
            </w:r>
            <w:r w:rsidR="00C171C8">
              <w:t xml:space="preserve"> </w:t>
            </w:r>
            <w:r w:rsidR="004676F4">
              <w:t>3 March 2020</w:t>
            </w:r>
            <w:bookmarkStart w:id="0" w:name="_GoBack"/>
            <w:bookmarkEnd w:id="0"/>
          </w:p>
        </w:tc>
        <w:tc>
          <w:tcPr>
            <w:tcW w:w="387" w:type="dxa"/>
            <w:tcBorders>
              <w:left w:val="nil"/>
              <w:bottom w:val="single" w:sz="4" w:space="0" w:color="auto"/>
              <w:right w:val="nil"/>
            </w:tcBorders>
          </w:tcPr>
          <w:p w:rsidR="00080819" w:rsidRDefault="00080819" w:rsidP="00FF30F2">
            <w:pPr>
              <w:pStyle w:val="Infotext"/>
            </w:pPr>
          </w:p>
        </w:tc>
        <w:tc>
          <w:tcPr>
            <w:tcW w:w="236" w:type="dxa"/>
            <w:tcBorders>
              <w:top w:val="nil"/>
              <w:left w:val="nil"/>
              <w:right w:val="nil"/>
            </w:tcBorders>
          </w:tcPr>
          <w:p w:rsidR="00080819" w:rsidRDefault="00080819" w:rsidP="00FF30F2">
            <w:pPr>
              <w:pStyle w:val="Infotext"/>
            </w:pPr>
          </w:p>
        </w:tc>
        <w:tc>
          <w:tcPr>
            <w:tcW w:w="3890" w:type="dxa"/>
            <w:tcBorders>
              <w:top w:val="nil"/>
              <w:left w:val="nil"/>
            </w:tcBorders>
          </w:tcPr>
          <w:p w:rsidR="00080819" w:rsidRDefault="00BD5A55" w:rsidP="00FF30F2">
            <w:pPr>
              <w:pStyle w:val="Infotext"/>
            </w:pPr>
            <w:r>
              <w:t>People Services</w:t>
            </w:r>
          </w:p>
        </w:tc>
      </w:tr>
    </w:tbl>
    <w:p w:rsidR="00080819" w:rsidRDefault="00080819">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A51FAE">
        <w:trPr>
          <w:trHeight w:val="965"/>
        </w:trPr>
        <w:tc>
          <w:tcPr>
            <w:tcW w:w="3025" w:type="pct"/>
            <w:tcBorders>
              <w:right w:val="nil"/>
            </w:tcBorders>
          </w:tcPr>
          <w:p w:rsidR="00A51FAE" w:rsidRDefault="00A51FAE" w:rsidP="004213D7">
            <w:pPr>
              <w:pStyle w:val="Infotext"/>
              <w:rPr>
                <w:rFonts w:ascii="Arial Black" w:hAnsi="Arial Black"/>
              </w:rPr>
            </w:pPr>
          </w:p>
          <w:p w:rsidR="00A51FAE" w:rsidRDefault="00A51FAE" w:rsidP="004213D7">
            <w:pPr>
              <w:pStyle w:val="Infotext"/>
              <w:rPr>
                <w:rFonts w:ascii="Arial Black" w:hAnsi="Arial Black"/>
              </w:rPr>
            </w:pPr>
            <w:r>
              <w:rPr>
                <w:rFonts w:ascii="Arial Black" w:hAnsi="Arial Black"/>
              </w:rPr>
              <w:t>Ward Councillors notified:</w:t>
            </w:r>
          </w:p>
          <w:p w:rsidR="00A51FAE" w:rsidRPr="00A50388" w:rsidRDefault="00A51FAE" w:rsidP="004213D7">
            <w:pPr>
              <w:pStyle w:val="Infotext"/>
              <w:rPr>
                <w:b/>
                <w:color w:val="FF0000"/>
              </w:rPr>
            </w:pPr>
          </w:p>
        </w:tc>
        <w:tc>
          <w:tcPr>
            <w:tcW w:w="1975" w:type="pct"/>
            <w:tcBorders>
              <w:left w:val="nil"/>
            </w:tcBorders>
          </w:tcPr>
          <w:p w:rsidR="00A51FAE" w:rsidRDefault="00A51FAE" w:rsidP="004213D7">
            <w:pPr>
              <w:pStyle w:val="Infotext"/>
            </w:pPr>
          </w:p>
          <w:p w:rsidR="00A51FAE" w:rsidRPr="00A406F3" w:rsidRDefault="00A51FAE" w:rsidP="004213D7">
            <w:pPr>
              <w:pStyle w:val="Infotext"/>
              <w:spacing w:before="120"/>
              <w:rPr>
                <w:b/>
              </w:rPr>
            </w:pPr>
            <w:r w:rsidRPr="00A406F3">
              <w:rPr>
                <w:b/>
              </w:rPr>
              <w:t xml:space="preserve">NO </w:t>
            </w:r>
          </w:p>
          <w:p w:rsidR="00A51FAE" w:rsidRDefault="00A51FAE" w:rsidP="004213D7">
            <w:pPr>
              <w:pStyle w:val="Infotext"/>
              <w:rPr>
                <w:i/>
                <w:sz w:val="24"/>
                <w:szCs w:val="24"/>
              </w:rPr>
            </w:pPr>
          </w:p>
          <w:p w:rsidR="00A51FAE" w:rsidRPr="003D78F6" w:rsidRDefault="00A51FAE" w:rsidP="004213D7">
            <w:pPr>
              <w:pStyle w:val="Infotext"/>
              <w:ind w:left="173"/>
              <w:rPr>
                <w:i/>
                <w:sz w:val="24"/>
                <w:szCs w:val="24"/>
              </w:rPr>
            </w:pPr>
          </w:p>
        </w:tc>
      </w:tr>
    </w:tbl>
    <w:p w:rsidR="00A51FAE" w:rsidRPr="00A51FAE" w:rsidRDefault="00A51FAE">
      <w:pPr>
        <w:rPr>
          <w:szCs w:val="24"/>
        </w:rPr>
      </w:pPr>
    </w:p>
    <w:p w:rsidR="002A2389" w:rsidRDefault="002A2389" w:rsidP="008D1750">
      <w:pPr>
        <w:pStyle w:val="Heading1"/>
        <w:keepNext/>
      </w:pPr>
      <w:r>
        <w:t>Section 4 - Contact Details and Background Papers</w:t>
      </w:r>
    </w:p>
    <w:p w:rsidR="002A2389" w:rsidRDefault="002A2389" w:rsidP="008D1750">
      <w:pPr>
        <w:keepNext/>
        <w:rPr>
          <w:rFonts w:cs="Arial"/>
        </w:rPr>
      </w:pPr>
    </w:p>
    <w:p w:rsidR="002A2389" w:rsidRDefault="002A2389"/>
    <w:p w:rsidR="002A2389" w:rsidRDefault="002A2389" w:rsidP="00BD5A55">
      <w:pPr>
        <w:pStyle w:val="Infotext"/>
      </w:pPr>
      <w:r w:rsidRPr="00D914D2">
        <w:rPr>
          <w:b/>
        </w:rPr>
        <w:t>Contact:</w:t>
      </w:r>
      <w:r>
        <w:t xml:space="preserve">  </w:t>
      </w:r>
      <w:r w:rsidR="001B66A3">
        <w:rPr>
          <w:rFonts w:cs="Arial"/>
          <w:sz w:val="24"/>
        </w:rPr>
        <w:t xml:space="preserve">Angela Morris, </w:t>
      </w:r>
      <w:r w:rsidR="00BD5A55">
        <w:rPr>
          <w:rFonts w:cs="Arial"/>
          <w:sz w:val="24"/>
        </w:rPr>
        <w:t xml:space="preserve">Director of Adult Social Care, </w:t>
      </w:r>
      <w:r w:rsidR="00D876F6" w:rsidRPr="00D876F6">
        <w:rPr>
          <w:sz w:val="24"/>
          <w:szCs w:val="24"/>
          <w:lang w:eastAsia="en-GB"/>
        </w:rPr>
        <w:t>020 8736 6012</w:t>
      </w:r>
    </w:p>
    <w:p w:rsidR="002A2389" w:rsidRDefault="002A2389"/>
    <w:p w:rsidR="002A2389" w:rsidRDefault="002A2389"/>
    <w:p w:rsidR="002A2389" w:rsidRDefault="002A2389">
      <w:pPr>
        <w:pStyle w:val="Infotext"/>
      </w:pPr>
      <w:r w:rsidRPr="00D914D2">
        <w:rPr>
          <w:b/>
        </w:rPr>
        <w:t>Background Papers</w:t>
      </w:r>
      <w:r>
        <w:t xml:space="preserve">:  </w:t>
      </w:r>
      <w:r w:rsidR="00BD5A55">
        <w:rPr>
          <w:rFonts w:cs="Arial"/>
          <w:sz w:val="24"/>
        </w:rPr>
        <w:t>None</w:t>
      </w:r>
    </w:p>
    <w:p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62" w:rsidRDefault="00D03962">
      <w:r>
        <w:separator/>
      </w:r>
    </w:p>
  </w:endnote>
  <w:endnote w:type="continuationSeparator" w:id="0">
    <w:p w:rsidR="00D03962" w:rsidRDefault="00D0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62" w:rsidRDefault="00D03962">
      <w:r>
        <w:separator/>
      </w:r>
    </w:p>
  </w:footnote>
  <w:footnote w:type="continuationSeparator" w:id="0">
    <w:p w:rsidR="00D03962" w:rsidRDefault="00D03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C94048"/>
    <w:multiLevelType w:val="hybridMultilevel"/>
    <w:tmpl w:val="9190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81468D"/>
    <w:multiLevelType w:val="hybridMultilevel"/>
    <w:tmpl w:val="F772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092697"/>
    <w:multiLevelType w:val="hybridMultilevel"/>
    <w:tmpl w:val="54FA5878"/>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BA7DD4"/>
    <w:multiLevelType w:val="hybridMultilevel"/>
    <w:tmpl w:val="23DC370A"/>
    <w:lvl w:ilvl="0" w:tplc="08090001">
      <w:start w:val="1"/>
      <w:numFmt w:val="bullet"/>
      <w:lvlText w:val=""/>
      <w:lvlJc w:val="left"/>
      <w:pPr>
        <w:ind w:left="92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245C49"/>
    <w:multiLevelType w:val="hybridMultilevel"/>
    <w:tmpl w:val="26FABC38"/>
    <w:lvl w:ilvl="0" w:tplc="08090001">
      <w:start w:val="1"/>
      <w:numFmt w:val="bullet"/>
      <w:lvlText w:val=""/>
      <w:lvlJc w:val="left"/>
      <w:pPr>
        <w:ind w:left="928"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11"/>
  </w:num>
  <w:num w:numId="10">
    <w:abstractNumId w:val="17"/>
  </w:num>
  <w:num w:numId="11">
    <w:abstractNumId w:val="9"/>
  </w:num>
  <w:num w:numId="12">
    <w:abstractNumId w:val="2"/>
  </w:num>
  <w:num w:numId="13">
    <w:abstractNumId w:val="4"/>
  </w:num>
  <w:num w:numId="14">
    <w:abstractNumId w:val="0"/>
  </w:num>
  <w:num w:numId="15">
    <w:abstractNumId w:val="10"/>
  </w:num>
  <w:num w:numId="16">
    <w:abstractNumId w:val="5"/>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110EA"/>
    <w:rsid w:val="00057F10"/>
    <w:rsid w:val="00071EB4"/>
    <w:rsid w:val="00077298"/>
    <w:rsid w:val="00080819"/>
    <w:rsid w:val="000B6DBB"/>
    <w:rsid w:val="000D2BF2"/>
    <w:rsid w:val="000D71CA"/>
    <w:rsid w:val="000F65C0"/>
    <w:rsid w:val="00122491"/>
    <w:rsid w:val="001417FD"/>
    <w:rsid w:val="001939BA"/>
    <w:rsid w:val="001B66A3"/>
    <w:rsid w:val="001C5225"/>
    <w:rsid w:val="001D4348"/>
    <w:rsid w:val="001E0219"/>
    <w:rsid w:val="001F341E"/>
    <w:rsid w:val="00231A1D"/>
    <w:rsid w:val="00251A1F"/>
    <w:rsid w:val="00296F20"/>
    <w:rsid w:val="002A2389"/>
    <w:rsid w:val="002C08E2"/>
    <w:rsid w:val="002C1794"/>
    <w:rsid w:val="002E77E3"/>
    <w:rsid w:val="003115B3"/>
    <w:rsid w:val="003B6B15"/>
    <w:rsid w:val="003C0B16"/>
    <w:rsid w:val="003E0668"/>
    <w:rsid w:val="004213D7"/>
    <w:rsid w:val="0042394B"/>
    <w:rsid w:val="004676F4"/>
    <w:rsid w:val="00473B08"/>
    <w:rsid w:val="00474B5F"/>
    <w:rsid w:val="004B2C9D"/>
    <w:rsid w:val="004C2D29"/>
    <w:rsid w:val="004D5D86"/>
    <w:rsid w:val="004D6B90"/>
    <w:rsid w:val="004E667D"/>
    <w:rsid w:val="004E6AF9"/>
    <w:rsid w:val="00513FB9"/>
    <w:rsid w:val="005861B4"/>
    <w:rsid w:val="005874F0"/>
    <w:rsid w:val="005D4ADF"/>
    <w:rsid w:val="005E384D"/>
    <w:rsid w:val="005F2181"/>
    <w:rsid w:val="005F724B"/>
    <w:rsid w:val="00603399"/>
    <w:rsid w:val="0063072B"/>
    <w:rsid w:val="006465F6"/>
    <w:rsid w:val="00662891"/>
    <w:rsid w:val="00675FCB"/>
    <w:rsid w:val="006C3914"/>
    <w:rsid w:val="006D07FC"/>
    <w:rsid w:val="006D2C51"/>
    <w:rsid w:val="007252EF"/>
    <w:rsid w:val="007319AD"/>
    <w:rsid w:val="00734C13"/>
    <w:rsid w:val="0074184E"/>
    <w:rsid w:val="00755F8D"/>
    <w:rsid w:val="007823CD"/>
    <w:rsid w:val="00796503"/>
    <w:rsid w:val="007D56C8"/>
    <w:rsid w:val="007E4711"/>
    <w:rsid w:val="007E7303"/>
    <w:rsid w:val="007F7B2F"/>
    <w:rsid w:val="00803162"/>
    <w:rsid w:val="008136B1"/>
    <w:rsid w:val="00825755"/>
    <w:rsid w:val="008D1750"/>
    <w:rsid w:val="008E4913"/>
    <w:rsid w:val="008F4594"/>
    <w:rsid w:val="00900464"/>
    <w:rsid w:val="0090100E"/>
    <w:rsid w:val="0092092F"/>
    <w:rsid w:val="0093767E"/>
    <w:rsid w:val="00972A02"/>
    <w:rsid w:val="0099517C"/>
    <w:rsid w:val="009B2ECD"/>
    <w:rsid w:val="009B7914"/>
    <w:rsid w:val="00A50388"/>
    <w:rsid w:val="00A51FAE"/>
    <w:rsid w:val="00A566E7"/>
    <w:rsid w:val="00A613C1"/>
    <w:rsid w:val="00A76A21"/>
    <w:rsid w:val="00A85F92"/>
    <w:rsid w:val="00A940D3"/>
    <w:rsid w:val="00A96FCA"/>
    <w:rsid w:val="00AA4BE8"/>
    <w:rsid w:val="00AC69D6"/>
    <w:rsid w:val="00AC7BA9"/>
    <w:rsid w:val="00AD334A"/>
    <w:rsid w:val="00AF6C1B"/>
    <w:rsid w:val="00B0425E"/>
    <w:rsid w:val="00B76434"/>
    <w:rsid w:val="00B90D1E"/>
    <w:rsid w:val="00B92AA6"/>
    <w:rsid w:val="00B9498A"/>
    <w:rsid w:val="00BD5A55"/>
    <w:rsid w:val="00BD684A"/>
    <w:rsid w:val="00BE1C78"/>
    <w:rsid w:val="00BF6C06"/>
    <w:rsid w:val="00C171C8"/>
    <w:rsid w:val="00C32DAE"/>
    <w:rsid w:val="00C40E24"/>
    <w:rsid w:val="00C45B39"/>
    <w:rsid w:val="00C82CEC"/>
    <w:rsid w:val="00C96EF5"/>
    <w:rsid w:val="00D03962"/>
    <w:rsid w:val="00D1109B"/>
    <w:rsid w:val="00D24335"/>
    <w:rsid w:val="00D32B51"/>
    <w:rsid w:val="00D34145"/>
    <w:rsid w:val="00D34668"/>
    <w:rsid w:val="00D3740E"/>
    <w:rsid w:val="00D82F57"/>
    <w:rsid w:val="00D841A5"/>
    <w:rsid w:val="00D876F6"/>
    <w:rsid w:val="00D914D2"/>
    <w:rsid w:val="00DA25DB"/>
    <w:rsid w:val="00DB39E5"/>
    <w:rsid w:val="00DD4251"/>
    <w:rsid w:val="00DD45C0"/>
    <w:rsid w:val="00DF48BB"/>
    <w:rsid w:val="00E02B50"/>
    <w:rsid w:val="00E03F11"/>
    <w:rsid w:val="00E06DC8"/>
    <w:rsid w:val="00E220B5"/>
    <w:rsid w:val="00EA6242"/>
    <w:rsid w:val="00EE0325"/>
    <w:rsid w:val="00EE382D"/>
    <w:rsid w:val="00F37C8A"/>
    <w:rsid w:val="00F4213B"/>
    <w:rsid w:val="00F66DED"/>
    <w:rsid w:val="00F849ED"/>
    <w:rsid w:val="00F92398"/>
    <w:rsid w:val="00FB2858"/>
    <w:rsid w:val="00FD31A0"/>
    <w:rsid w:val="00FF30F2"/>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D34145"/>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A50388"/>
    <w:pPr>
      <w:spacing w:after="160" w:line="240" w:lineRule="exact"/>
    </w:pPr>
    <w:rPr>
      <w:rFonts w:ascii="Verdana" w:hAnsi="Verdana"/>
      <w:sz w:val="20"/>
      <w:lang w:val="en-US"/>
    </w:rPr>
  </w:style>
  <w:style w:type="character" w:styleId="Hyperlink">
    <w:name w:val="Hyperlink"/>
    <w:rsid w:val="00A50388"/>
    <w:rPr>
      <w:color w:val="0000FF"/>
      <w:u w:val="single"/>
    </w:rPr>
  </w:style>
  <w:style w:type="paragraph" w:styleId="ListParagraph">
    <w:name w:val="List Paragraph"/>
    <w:basedOn w:val="Normal"/>
    <w:uiPriority w:val="34"/>
    <w:qFormat/>
    <w:rsid w:val="00A503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2F9C-4EB1-4C45-93F6-119D44D8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974</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6351</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mwearing</cp:lastModifiedBy>
  <cp:revision>4</cp:revision>
  <cp:lastPrinted>2007-07-12T09:53:00Z</cp:lastPrinted>
  <dcterms:created xsi:type="dcterms:W3CDTF">2020-03-04T14:19:00Z</dcterms:created>
  <dcterms:modified xsi:type="dcterms:W3CDTF">2020-03-09T10:28:00Z</dcterms:modified>
</cp:coreProperties>
</file>